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1CAB" w14:textId="77777777" w:rsidR="00B03F48" w:rsidRDefault="0088235C" w:rsidP="00804D8A">
      <w:pPr>
        <w:jc w:val="both"/>
        <w:rPr>
          <w:rFonts w:ascii="Calibri" w:eastAsia="Calibri" w:hAnsi="Calibri" w:cs="Calibri"/>
        </w:rPr>
      </w:pPr>
      <w:r>
        <w:rPr>
          <w:rFonts w:ascii="Calibri" w:eastAsia="Calibri" w:hAnsi="Calibri" w:cs="Calibri"/>
        </w:rPr>
        <w:t xml:space="preserve">                                                                                    </w:t>
      </w:r>
    </w:p>
    <w:p w14:paraId="7485767D" w14:textId="51AE34A2" w:rsidR="006417B5" w:rsidRDefault="0088235C" w:rsidP="00804D8A">
      <w:pPr>
        <w:jc w:val="both"/>
        <w:rPr>
          <w:rFonts w:ascii="Calibri" w:eastAsia="Calibri" w:hAnsi="Calibri" w:cs="Calibri"/>
        </w:rPr>
      </w:pPr>
      <w:r>
        <w:rPr>
          <w:rFonts w:ascii="Calibri" w:eastAsia="Calibri" w:hAnsi="Calibri" w:cs="Calibri"/>
        </w:rPr>
        <w:t xml:space="preserve">                          </w:t>
      </w:r>
    </w:p>
    <w:p w14:paraId="2F021B5B" w14:textId="16DB3C0D" w:rsidR="009D68FF" w:rsidRDefault="009D68FF" w:rsidP="00804D8A">
      <w:pPr>
        <w:jc w:val="both"/>
        <w:rPr>
          <w:rFonts w:ascii="Calibri" w:eastAsia="Calibri" w:hAnsi="Calibri" w:cs="Calibri"/>
        </w:rPr>
      </w:pPr>
      <w:r>
        <w:rPr>
          <w:rFonts w:ascii="Calibri" w:eastAsia="Calibri" w:hAnsi="Calibri" w:cs="Calibri"/>
          <w:noProof/>
        </w:rPr>
        <w:drawing>
          <wp:inline distT="0" distB="0" distL="0" distR="0" wp14:anchorId="739B7DCF" wp14:editId="335C3D2E">
            <wp:extent cx="5871527" cy="1433195"/>
            <wp:effectExtent l="0" t="0" r="0" b="0"/>
            <wp:docPr id="1051730592" name="Imagen 2"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730592" name="Imagen 2" descr="Un dibujo de una persona&#10;&#10;Descripción generada automáticamente con confianza media"/>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72164" cy="1433350"/>
                    </a:xfrm>
                    <a:prstGeom prst="rect">
                      <a:avLst/>
                    </a:prstGeom>
                  </pic:spPr>
                </pic:pic>
              </a:graphicData>
            </a:graphic>
          </wp:inline>
        </w:drawing>
      </w:r>
    </w:p>
    <w:p w14:paraId="7979DA04" w14:textId="77777777" w:rsidR="009D68FF" w:rsidRDefault="009D68FF" w:rsidP="00804D8A">
      <w:pPr>
        <w:jc w:val="both"/>
        <w:rPr>
          <w:rFonts w:ascii="Calibri" w:eastAsia="Calibri" w:hAnsi="Calibri" w:cs="Calibri"/>
        </w:rPr>
      </w:pPr>
    </w:p>
    <w:p w14:paraId="6CAAA8F8" w14:textId="77777777" w:rsidR="009D68FF" w:rsidRDefault="009D68FF" w:rsidP="00804D8A">
      <w:pPr>
        <w:jc w:val="both"/>
        <w:rPr>
          <w:color w:val="222222"/>
          <w:highlight w:val="white"/>
        </w:rPr>
      </w:pPr>
    </w:p>
    <w:p w14:paraId="3A970AE2" w14:textId="1F9E063F" w:rsidR="006417B5" w:rsidRPr="00804D8A" w:rsidRDefault="0088235C" w:rsidP="00573220">
      <w:pPr>
        <w:rPr>
          <w:b/>
          <w:sz w:val="32"/>
          <w:szCs w:val="32"/>
          <w:highlight w:val="white"/>
        </w:rPr>
      </w:pPr>
      <w:r w:rsidRPr="00804D8A">
        <w:rPr>
          <w:b/>
          <w:color w:val="222222"/>
          <w:sz w:val="32"/>
          <w:szCs w:val="32"/>
          <w:highlight w:val="white"/>
        </w:rPr>
        <w:t xml:space="preserve">La Fundación ICO y </w:t>
      </w:r>
      <w:proofErr w:type="spellStart"/>
      <w:r w:rsidR="00804D8A" w:rsidRPr="00804D8A">
        <w:rPr>
          <w:b/>
          <w:color w:val="222222"/>
          <w:sz w:val="32"/>
          <w:szCs w:val="32"/>
          <w:highlight w:val="white"/>
        </w:rPr>
        <w:t>A</w:t>
      </w:r>
      <w:r w:rsidR="00BF687F">
        <w:rPr>
          <w:b/>
          <w:color w:val="222222"/>
          <w:sz w:val="32"/>
          <w:szCs w:val="32"/>
          <w:highlight w:val="white"/>
        </w:rPr>
        <w:t>fi</w:t>
      </w:r>
      <w:proofErr w:type="spellEnd"/>
      <w:r w:rsidRPr="00804D8A">
        <w:rPr>
          <w:b/>
          <w:color w:val="222222"/>
          <w:sz w:val="32"/>
          <w:szCs w:val="32"/>
          <w:highlight w:val="white"/>
        </w:rPr>
        <w:t xml:space="preserve"> </w:t>
      </w:r>
      <w:r w:rsidR="00192B70">
        <w:rPr>
          <w:b/>
          <w:sz w:val="32"/>
          <w:szCs w:val="32"/>
          <w:highlight w:val="white"/>
        </w:rPr>
        <w:t xml:space="preserve">analizan la </w:t>
      </w:r>
      <w:r w:rsidR="009D68FF">
        <w:rPr>
          <w:b/>
          <w:sz w:val="32"/>
          <w:szCs w:val="32"/>
          <w:highlight w:val="white"/>
        </w:rPr>
        <w:t>E</w:t>
      </w:r>
      <w:r w:rsidR="00192B70">
        <w:rPr>
          <w:b/>
          <w:sz w:val="32"/>
          <w:szCs w:val="32"/>
          <w:highlight w:val="white"/>
        </w:rPr>
        <w:t xml:space="preserve">conomía </w:t>
      </w:r>
      <w:r w:rsidR="009D68FF">
        <w:rPr>
          <w:b/>
          <w:sz w:val="32"/>
          <w:szCs w:val="32"/>
          <w:highlight w:val="white"/>
        </w:rPr>
        <w:t>A</w:t>
      </w:r>
      <w:r w:rsidR="00192B70">
        <w:rPr>
          <w:b/>
          <w:sz w:val="32"/>
          <w:szCs w:val="32"/>
          <w:highlight w:val="white"/>
        </w:rPr>
        <w:t>zul y su importancia en</w:t>
      </w:r>
      <w:r w:rsidRPr="00804D8A">
        <w:rPr>
          <w:b/>
          <w:sz w:val="32"/>
          <w:szCs w:val="32"/>
          <w:highlight w:val="white"/>
        </w:rPr>
        <w:t xml:space="preserve"> </w:t>
      </w:r>
      <w:r w:rsidR="00192B70">
        <w:rPr>
          <w:b/>
          <w:sz w:val="32"/>
          <w:szCs w:val="32"/>
          <w:highlight w:val="white"/>
        </w:rPr>
        <w:t>la segunda edición de los</w:t>
      </w:r>
      <w:r w:rsidR="00804D8A" w:rsidRPr="00804D8A">
        <w:rPr>
          <w:b/>
          <w:sz w:val="32"/>
          <w:szCs w:val="32"/>
          <w:highlight w:val="white"/>
        </w:rPr>
        <w:t xml:space="preserve"> </w:t>
      </w:r>
      <w:r w:rsidR="00804D8A" w:rsidRPr="00880F7F">
        <w:rPr>
          <w:b/>
          <w:i/>
          <w:iCs/>
          <w:sz w:val="32"/>
          <w:szCs w:val="32"/>
          <w:highlight w:val="white"/>
        </w:rPr>
        <w:t>Cuadernos de Finanzas Sostenibles y Economía Circular</w:t>
      </w:r>
      <w:r w:rsidR="00804D8A" w:rsidRPr="00804D8A">
        <w:rPr>
          <w:b/>
          <w:sz w:val="32"/>
          <w:szCs w:val="32"/>
          <w:highlight w:val="white"/>
        </w:rPr>
        <w:t xml:space="preserve"> </w:t>
      </w:r>
    </w:p>
    <w:p w14:paraId="4F89555F" w14:textId="69D6E730" w:rsidR="006417B5" w:rsidRDefault="006417B5" w:rsidP="009D68FF">
      <w:pPr>
        <w:rPr>
          <w:b/>
          <w:sz w:val="36"/>
          <w:szCs w:val="36"/>
          <w:highlight w:val="white"/>
        </w:rPr>
      </w:pPr>
    </w:p>
    <w:p w14:paraId="7B45A6C9" w14:textId="77777777" w:rsidR="009D68FF" w:rsidRDefault="009D68FF" w:rsidP="009D68FF">
      <w:pPr>
        <w:rPr>
          <w:b/>
          <w:sz w:val="32"/>
          <w:szCs w:val="32"/>
          <w:highlight w:val="white"/>
        </w:rPr>
      </w:pPr>
    </w:p>
    <w:p w14:paraId="59A62D09" w14:textId="1A79D353" w:rsidR="00B34BC9" w:rsidRPr="00B03F48" w:rsidRDefault="00192B70" w:rsidP="006D5DF2">
      <w:pPr>
        <w:jc w:val="both"/>
        <w:rPr>
          <w:color w:val="222222"/>
          <w:sz w:val="21"/>
          <w:szCs w:val="21"/>
        </w:rPr>
      </w:pPr>
      <w:r>
        <w:rPr>
          <w:b/>
          <w:color w:val="222222"/>
          <w:sz w:val="21"/>
          <w:szCs w:val="21"/>
          <w:highlight w:val="white"/>
        </w:rPr>
        <w:t>Santander</w:t>
      </w:r>
      <w:r w:rsidR="0088235C" w:rsidRPr="00B03F48">
        <w:rPr>
          <w:b/>
          <w:color w:val="222222"/>
          <w:sz w:val="21"/>
          <w:szCs w:val="21"/>
          <w:highlight w:val="white"/>
        </w:rPr>
        <w:t xml:space="preserve">, </w:t>
      </w:r>
      <w:r>
        <w:rPr>
          <w:b/>
          <w:color w:val="222222"/>
          <w:sz w:val="21"/>
          <w:szCs w:val="21"/>
          <w:highlight w:val="white"/>
        </w:rPr>
        <w:t>martes 27</w:t>
      </w:r>
      <w:r w:rsidR="0088235C" w:rsidRPr="00B03F48">
        <w:rPr>
          <w:b/>
          <w:color w:val="222222"/>
          <w:sz w:val="21"/>
          <w:szCs w:val="21"/>
          <w:highlight w:val="white"/>
        </w:rPr>
        <w:t xml:space="preserve"> de </w:t>
      </w:r>
      <w:r>
        <w:rPr>
          <w:b/>
          <w:color w:val="222222"/>
          <w:sz w:val="21"/>
          <w:szCs w:val="21"/>
          <w:highlight w:val="white"/>
        </w:rPr>
        <w:t>junio</w:t>
      </w:r>
      <w:r w:rsidR="0088235C" w:rsidRPr="00B03F48">
        <w:rPr>
          <w:b/>
          <w:color w:val="222222"/>
          <w:sz w:val="21"/>
          <w:szCs w:val="21"/>
          <w:highlight w:val="white"/>
        </w:rPr>
        <w:t xml:space="preserve"> de 202</w:t>
      </w:r>
      <w:r w:rsidR="00880F7F" w:rsidRPr="00B03F48">
        <w:rPr>
          <w:b/>
          <w:color w:val="222222"/>
          <w:sz w:val="21"/>
          <w:szCs w:val="21"/>
          <w:highlight w:val="white"/>
        </w:rPr>
        <w:t>3</w:t>
      </w:r>
      <w:r w:rsidR="0088235C" w:rsidRPr="00B03F48">
        <w:rPr>
          <w:b/>
          <w:color w:val="222222"/>
          <w:sz w:val="21"/>
          <w:szCs w:val="21"/>
          <w:highlight w:val="white"/>
        </w:rPr>
        <w:t>.-</w:t>
      </w:r>
      <w:r w:rsidR="0088235C" w:rsidRPr="00B03F48">
        <w:rPr>
          <w:color w:val="222222"/>
          <w:sz w:val="21"/>
          <w:szCs w:val="21"/>
          <w:highlight w:val="white"/>
        </w:rPr>
        <w:t xml:space="preserve"> </w:t>
      </w:r>
      <w:r w:rsidRPr="00192B70">
        <w:rPr>
          <w:color w:val="222222"/>
          <w:sz w:val="21"/>
          <w:szCs w:val="21"/>
          <w:highlight w:val="white"/>
          <w:lang w:val="es-ES"/>
        </w:rPr>
        <w:t xml:space="preserve">Alrededor del 70% de la superficie de la Tierra está cubierta de agua y millones de personas dependen de los océanos para su sustento. Los mares son fuente de comida, energía, minerales, salud, ocio y transporte (European </w:t>
      </w:r>
      <w:proofErr w:type="spellStart"/>
      <w:r w:rsidRPr="00192B70">
        <w:rPr>
          <w:color w:val="222222"/>
          <w:sz w:val="21"/>
          <w:szCs w:val="21"/>
          <w:highlight w:val="white"/>
          <w:lang w:val="es-ES"/>
        </w:rPr>
        <w:t>Commission</w:t>
      </w:r>
      <w:proofErr w:type="spellEnd"/>
      <w:r w:rsidRPr="00192B70">
        <w:rPr>
          <w:color w:val="222222"/>
          <w:sz w:val="21"/>
          <w:szCs w:val="21"/>
          <w:highlight w:val="white"/>
          <w:lang w:val="es-ES"/>
        </w:rPr>
        <w:t>, 2020). La Organización para la Cooperación y el Desarrollo Económicos (OECD) estimó que la economía relacionada con el mar</w:t>
      </w:r>
      <w:r w:rsidR="006D5DF2">
        <w:rPr>
          <w:color w:val="222222"/>
          <w:sz w:val="21"/>
          <w:szCs w:val="21"/>
          <w:highlight w:val="white"/>
          <w:lang w:val="es-ES"/>
        </w:rPr>
        <w:t xml:space="preserve"> -</w:t>
      </w:r>
      <w:r w:rsidR="006D5DF2" w:rsidRPr="006D5DF2">
        <w:rPr>
          <w:b/>
          <w:bCs/>
          <w:color w:val="222222"/>
          <w:sz w:val="21"/>
          <w:szCs w:val="21"/>
          <w:highlight w:val="white"/>
          <w:lang w:val="es-ES"/>
        </w:rPr>
        <w:t>la llamada Economía Azul</w:t>
      </w:r>
      <w:r w:rsidR="006D5DF2">
        <w:rPr>
          <w:color w:val="222222"/>
          <w:sz w:val="21"/>
          <w:szCs w:val="21"/>
          <w:highlight w:val="white"/>
          <w:lang w:val="es-ES"/>
        </w:rPr>
        <w:t>-</w:t>
      </w:r>
      <w:r w:rsidRPr="00192B70">
        <w:rPr>
          <w:color w:val="222222"/>
          <w:sz w:val="21"/>
          <w:szCs w:val="21"/>
          <w:highlight w:val="white"/>
          <w:lang w:val="es-ES"/>
        </w:rPr>
        <w:t xml:space="preserve"> contribuía ya en 2010 a la economía global en 1,5 billones de dólares estadounidenses, USD. </w:t>
      </w:r>
      <w:r w:rsidR="006D5DF2">
        <w:rPr>
          <w:color w:val="222222"/>
          <w:sz w:val="21"/>
          <w:szCs w:val="21"/>
          <w:highlight w:val="white"/>
          <w:lang w:val="es-ES"/>
        </w:rPr>
        <w:t xml:space="preserve">La Fundación ICO y AFI Escuela han elegido la Economía Azul como el tema del segundo volumen de los </w:t>
      </w:r>
      <w:r w:rsidR="00880F7F" w:rsidRPr="00B03F48">
        <w:rPr>
          <w:b/>
          <w:bCs/>
          <w:i/>
          <w:iCs/>
          <w:color w:val="222222"/>
          <w:sz w:val="21"/>
          <w:szCs w:val="21"/>
          <w:highlight w:val="white"/>
        </w:rPr>
        <w:t>Cuadernos de Finanzas Sostenibles y Economía Circular</w:t>
      </w:r>
      <w:r w:rsidR="006D5DF2">
        <w:rPr>
          <w:color w:val="222222"/>
          <w:sz w:val="21"/>
          <w:szCs w:val="21"/>
          <w:highlight w:val="white"/>
        </w:rPr>
        <w:t>, una</w:t>
      </w:r>
      <w:r w:rsidR="00880F7F" w:rsidRPr="00B03F48">
        <w:rPr>
          <w:color w:val="222222"/>
          <w:sz w:val="21"/>
          <w:szCs w:val="21"/>
          <w:highlight w:val="white"/>
        </w:rPr>
        <w:t xml:space="preserve"> publicación que </w:t>
      </w:r>
      <w:r w:rsidR="00BD5BF9">
        <w:rPr>
          <w:color w:val="222222"/>
          <w:sz w:val="21"/>
          <w:szCs w:val="21"/>
          <w:highlight w:val="white"/>
        </w:rPr>
        <w:t>tiene carácter</w:t>
      </w:r>
      <w:r w:rsidR="00880F7F" w:rsidRPr="00B03F48">
        <w:rPr>
          <w:color w:val="222222"/>
          <w:sz w:val="21"/>
          <w:szCs w:val="21"/>
          <w:highlight w:val="white"/>
        </w:rPr>
        <w:t xml:space="preserve"> semestral y donde se analizan los avances y medidas que están emprendiendo los sectores financiero y empresarial ante el reto de transformar la actividad económica de Europa y adaptarla a la senda de los objetivos 2030. </w:t>
      </w:r>
    </w:p>
    <w:p w14:paraId="2FAC8860" w14:textId="571AA0A3" w:rsidR="00880F7F" w:rsidRPr="00B03F48" w:rsidRDefault="00880F7F" w:rsidP="00343514">
      <w:pPr>
        <w:jc w:val="both"/>
        <w:rPr>
          <w:color w:val="222222"/>
          <w:sz w:val="21"/>
          <w:szCs w:val="21"/>
          <w:highlight w:val="white"/>
        </w:rPr>
      </w:pPr>
    </w:p>
    <w:p w14:paraId="2D6CC939" w14:textId="3EBB2A1B" w:rsidR="00FA150F" w:rsidRPr="007E6CCB" w:rsidRDefault="00B34BC9" w:rsidP="00B34BC9">
      <w:pPr>
        <w:pStyle w:val="NormalWeb"/>
        <w:spacing w:before="0" w:beforeAutospacing="0" w:after="0" w:afterAutospacing="0"/>
        <w:jc w:val="both"/>
        <w:rPr>
          <w:rFonts w:ascii="Arial" w:eastAsia="Arial" w:hAnsi="Arial" w:cs="Arial"/>
          <w:color w:val="222222"/>
          <w:sz w:val="21"/>
          <w:szCs w:val="21"/>
          <w:highlight w:val="white"/>
          <w:lang w:val="es" w:eastAsia="zh-CN"/>
        </w:rPr>
      </w:pPr>
      <w:r w:rsidRPr="007E6CCB">
        <w:rPr>
          <w:rFonts w:ascii="Arial" w:eastAsia="Arial" w:hAnsi="Arial" w:cs="Arial"/>
          <w:color w:val="222222"/>
          <w:sz w:val="21"/>
          <w:szCs w:val="21"/>
          <w:highlight w:val="white"/>
          <w:lang w:val="es" w:eastAsia="zh-CN"/>
        </w:rPr>
        <w:t>El acto</w:t>
      </w:r>
      <w:r w:rsidR="00BD5BF9" w:rsidRPr="007E6CCB">
        <w:rPr>
          <w:rFonts w:ascii="Arial" w:eastAsia="Arial" w:hAnsi="Arial" w:cs="Arial"/>
          <w:color w:val="222222"/>
          <w:sz w:val="21"/>
          <w:szCs w:val="21"/>
          <w:highlight w:val="white"/>
          <w:lang w:val="es" w:eastAsia="zh-CN"/>
        </w:rPr>
        <w:t xml:space="preserve"> de presentación </w:t>
      </w:r>
      <w:proofErr w:type="spellStart"/>
      <w:r w:rsidR="00FA150F" w:rsidRPr="007E6CCB">
        <w:rPr>
          <w:rFonts w:ascii="Arial" w:eastAsia="Arial" w:hAnsi="Arial" w:cs="Arial"/>
          <w:color w:val="222222"/>
          <w:sz w:val="21"/>
          <w:szCs w:val="21"/>
          <w:highlight w:val="white"/>
          <w:lang w:val="es" w:eastAsia="zh-CN"/>
        </w:rPr>
        <w:t>ha</w:t>
      </w:r>
      <w:proofErr w:type="spellEnd"/>
      <w:r w:rsidR="00FA150F" w:rsidRPr="007E6CCB">
        <w:rPr>
          <w:rFonts w:ascii="Arial" w:eastAsia="Arial" w:hAnsi="Arial" w:cs="Arial"/>
          <w:color w:val="222222"/>
          <w:sz w:val="21"/>
          <w:szCs w:val="21"/>
          <w:highlight w:val="white"/>
          <w:lang w:val="es" w:eastAsia="zh-CN"/>
        </w:rPr>
        <w:t xml:space="preserve"> tenido lugar hoy en el marco de los </w:t>
      </w:r>
      <w:r w:rsidR="00FA150F" w:rsidRPr="007E6CCB">
        <w:rPr>
          <w:rFonts w:ascii="Arial" w:eastAsia="Arial" w:hAnsi="Arial" w:cs="Arial"/>
          <w:b/>
          <w:bCs/>
          <w:color w:val="222222"/>
          <w:sz w:val="21"/>
          <w:szCs w:val="21"/>
          <w:highlight w:val="white"/>
          <w:lang w:val="es" w:eastAsia="zh-CN"/>
        </w:rPr>
        <w:t>Cursos de Verano organizados por la UIMP en</w:t>
      </w:r>
      <w:r w:rsidR="00BD5BF9" w:rsidRPr="007E6CCB">
        <w:rPr>
          <w:rFonts w:ascii="Arial" w:eastAsia="Arial" w:hAnsi="Arial" w:cs="Arial"/>
          <w:b/>
          <w:bCs/>
          <w:color w:val="222222"/>
          <w:sz w:val="21"/>
          <w:szCs w:val="21"/>
          <w:highlight w:val="white"/>
          <w:lang w:val="es" w:eastAsia="zh-CN"/>
        </w:rPr>
        <w:t xml:space="preserve"> Santander</w:t>
      </w:r>
      <w:r w:rsidR="00FA150F" w:rsidRPr="007E6CCB">
        <w:rPr>
          <w:rFonts w:ascii="Arial" w:eastAsia="Arial" w:hAnsi="Arial" w:cs="Arial"/>
          <w:color w:val="222222"/>
          <w:sz w:val="21"/>
          <w:szCs w:val="21"/>
          <w:highlight w:val="white"/>
          <w:lang w:val="es" w:eastAsia="zh-CN"/>
        </w:rPr>
        <w:t>, y</w:t>
      </w:r>
      <w:r w:rsidR="00BD5BF9" w:rsidRPr="007E6CCB">
        <w:rPr>
          <w:rFonts w:ascii="Arial" w:eastAsia="Arial" w:hAnsi="Arial" w:cs="Arial"/>
          <w:color w:val="222222"/>
          <w:sz w:val="21"/>
          <w:szCs w:val="21"/>
          <w:highlight w:val="white"/>
          <w:lang w:val="es" w:eastAsia="zh-CN"/>
        </w:rPr>
        <w:t xml:space="preserve"> ha</w:t>
      </w:r>
      <w:r w:rsidRPr="007E6CCB">
        <w:rPr>
          <w:rFonts w:ascii="Arial" w:eastAsia="Arial" w:hAnsi="Arial" w:cs="Arial"/>
          <w:color w:val="222222"/>
          <w:sz w:val="21"/>
          <w:szCs w:val="21"/>
          <w:highlight w:val="white"/>
          <w:lang w:val="es" w:eastAsia="zh-CN"/>
        </w:rPr>
        <w:t xml:space="preserve"> contado con la participación </w:t>
      </w:r>
      <w:r w:rsidR="00FA150F" w:rsidRPr="007E6CCB">
        <w:rPr>
          <w:rFonts w:ascii="Arial" w:eastAsia="Arial" w:hAnsi="Arial" w:cs="Arial"/>
          <w:color w:val="222222"/>
          <w:sz w:val="21"/>
          <w:szCs w:val="21"/>
          <w:highlight w:val="white"/>
          <w:lang w:val="es" w:eastAsia="zh-CN"/>
        </w:rPr>
        <w:t xml:space="preserve">del director </w:t>
      </w:r>
      <w:r w:rsidR="00FA150F" w:rsidRPr="007E6CCB">
        <w:rPr>
          <w:rFonts w:ascii="Arial" w:eastAsia="Arial" w:hAnsi="Arial" w:cs="Arial"/>
          <w:color w:val="222222"/>
          <w:sz w:val="21"/>
          <w:szCs w:val="21"/>
          <w:highlight w:val="white"/>
          <w:lang w:val="es" w:eastAsia="zh-CN"/>
        </w:rPr>
        <w:t xml:space="preserve">de la Fundación ICO, </w:t>
      </w:r>
      <w:r w:rsidR="00FA150F" w:rsidRPr="007E6CCB">
        <w:rPr>
          <w:rFonts w:ascii="Arial" w:eastAsia="Arial" w:hAnsi="Arial" w:cs="Arial"/>
          <w:b/>
          <w:bCs/>
          <w:color w:val="222222"/>
          <w:sz w:val="21"/>
          <w:szCs w:val="21"/>
          <w:highlight w:val="white"/>
          <w:lang w:val="es" w:eastAsia="zh-CN"/>
        </w:rPr>
        <w:t>Lucinio Muñoz</w:t>
      </w:r>
      <w:r w:rsidR="00FA150F" w:rsidRPr="007E6CCB">
        <w:rPr>
          <w:rFonts w:ascii="Arial" w:eastAsia="Arial" w:hAnsi="Arial" w:cs="Arial"/>
          <w:color w:val="222222"/>
          <w:sz w:val="21"/>
          <w:szCs w:val="21"/>
          <w:highlight w:val="white"/>
          <w:lang w:val="es" w:eastAsia="zh-CN"/>
        </w:rPr>
        <w:t xml:space="preserve">, y de los consultores y analistas de AFI </w:t>
      </w:r>
      <w:r w:rsidR="00FA150F" w:rsidRPr="007E6CCB">
        <w:rPr>
          <w:rFonts w:ascii="Arial" w:eastAsia="Arial" w:hAnsi="Arial" w:cs="Arial"/>
          <w:b/>
          <w:bCs/>
          <w:color w:val="222222"/>
          <w:sz w:val="21"/>
          <w:szCs w:val="21"/>
          <w:highlight w:val="white"/>
          <w:lang w:val="es" w:eastAsia="zh-CN"/>
        </w:rPr>
        <w:t>Verónica López</w:t>
      </w:r>
      <w:r w:rsidR="00FA150F" w:rsidRPr="007E6CCB">
        <w:rPr>
          <w:rFonts w:ascii="Arial" w:eastAsia="Arial" w:hAnsi="Arial" w:cs="Arial"/>
          <w:color w:val="222222"/>
          <w:sz w:val="21"/>
          <w:szCs w:val="21"/>
          <w:highlight w:val="white"/>
          <w:lang w:val="es" w:eastAsia="zh-CN"/>
        </w:rPr>
        <w:t xml:space="preserve"> y </w:t>
      </w:r>
      <w:r w:rsidR="00FA150F" w:rsidRPr="007E6CCB">
        <w:rPr>
          <w:rFonts w:ascii="Arial" w:eastAsia="Arial" w:hAnsi="Arial" w:cs="Arial"/>
          <w:b/>
          <w:bCs/>
          <w:color w:val="222222"/>
          <w:sz w:val="21"/>
          <w:szCs w:val="21"/>
          <w:highlight w:val="white"/>
          <w:lang w:val="es" w:eastAsia="zh-CN"/>
        </w:rPr>
        <w:t>Ricardo Pedraz</w:t>
      </w:r>
      <w:r w:rsidR="00FA150F" w:rsidRPr="007E6CCB">
        <w:rPr>
          <w:rFonts w:ascii="Arial" w:eastAsia="Arial" w:hAnsi="Arial" w:cs="Arial"/>
          <w:color w:val="222222"/>
          <w:sz w:val="21"/>
          <w:szCs w:val="21"/>
          <w:highlight w:val="white"/>
          <w:lang w:val="es" w:eastAsia="zh-CN"/>
        </w:rPr>
        <w:t xml:space="preserve">. </w:t>
      </w:r>
      <w:r w:rsidR="0058103C" w:rsidRPr="007E6CCB">
        <w:rPr>
          <w:rFonts w:ascii="Arial" w:eastAsia="Arial" w:hAnsi="Arial" w:cs="Arial"/>
          <w:color w:val="222222"/>
          <w:sz w:val="21"/>
          <w:szCs w:val="21"/>
          <w:highlight w:val="white"/>
          <w:lang w:val="es" w:eastAsia="zh-CN"/>
        </w:rPr>
        <w:t xml:space="preserve">Por su parte, </w:t>
      </w:r>
      <w:r w:rsidR="0058103C" w:rsidRPr="007E6CCB">
        <w:rPr>
          <w:rFonts w:ascii="Arial" w:eastAsia="Arial" w:hAnsi="Arial" w:cs="Arial"/>
          <w:b/>
          <w:bCs/>
          <w:color w:val="222222"/>
          <w:sz w:val="21"/>
          <w:szCs w:val="21"/>
          <w:highlight w:val="white"/>
          <w:lang w:val="es" w:eastAsia="zh-CN"/>
        </w:rPr>
        <w:t>Víctor Rodríguez</w:t>
      </w:r>
      <w:r w:rsidR="0058103C" w:rsidRPr="007E6CCB">
        <w:rPr>
          <w:rFonts w:ascii="Arial" w:eastAsia="Arial" w:hAnsi="Arial" w:cs="Arial"/>
          <w:color w:val="222222"/>
          <w:sz w:val="21"/>
          <w:szCs w:val="21"/>
          <w:highlight w:val="white"/>
          <w:lang w:val="es" w:eastAsia="zh-CN"/>
        </w:rPr>
        <w:t xml:space="preserve">, director general de Estrategia y RRII de la CNMV ha sido el encargado de la clausura. </w:t>
      </w:r>
    </w:p>
    <w:p w14:paraId="38455114" w14:textId="77777777" w:rsidR="0058103C" w:rsidRDefault="0058103C" w:rsidP="00B34BC9">
      <w:pPr>
        <w:pStyle w:val="NormalWeb"/>
        <w:spacing w:before="0" w:beforeAutospacing="0" w:after="0" w:afterAutospacing="0"/>
        <w:jc w:val="both"/>
        <w:rPr>
          <w:rFonts w:ascii="Arial" w:hAnsi="Arial" w:cs="Arial"/>
          <w:b/>
          <w:bCs/>
          <w:color w:val="000000" w:themeColor="text1"/>
          <w:kern w:val="24"/>
          <w:sz w:val="21"/>
          <w:szCs w:val="21"/>
        </w:rPr>
      </w:pPr>
    </w:p>
    <w:p w14:paraId="24F8CCF3" w14:textId="77A7A78C" w:rsidR="0058103C" w:rsidRDefault="0058103C" w:rsidP="0058103C">
      <w:pPr>
        <w:jc w:val="both"/>
        <w:rPr>
          <w:sz w:val="21"/>
          <w:szCs w:val="21"/>
          <w:lang w:val="es-ES"/>
        </w:rPr>
      </w:pPr>
      <w:r>
        <w:rPr>
          <w:b/>
          <w:bCs/>
          <w:sz w:val="21"/>
          <w:szCs w:val="21"/>
          <w:lang w:val="es-ES"/>
        </w:rPr>
        <w:t xml:space="preserve">Íñigo Losada, </w:t>
      </w:r>
      <w:r w:rsidR="00C6782E" w:rsidRPr="0058103C">
        <w:rPr>
          <w:sz w:val="21"/>
          <w:szCs w:val="21"/>
          <w:lang w:val="es-ES"/>
        </w:rPr>
        <w:t>catedrático de la Universidad de Cantabri</w:t>
      </w:r>
      <w:r w:rsidR="00C6782E">
        <w:rPr>
          <w:sz w:val="21"/>
          <w:szCs w:val="21"/>
          <w:lang w:val="es-ES"/>
        </w:rPr>
        <w:t>a</w:t>
      </w:r>
      <w:r w:rsidR="00C6782E" w:rsidRPr="0058103C">
        <w:rPr>
          <w:sz w:val="21"/>
          <w:szCs w:val="21"/>
          <w:lang w:val="es-ES"/>
        </w:rPr>
        <w:t xml:space="preserve"> </w:t>
      </w:r>
      <w:r w:rsidR="00C6782E">
        <w:rPr>
          <w:sz w:val="21"/>
          <w:szCs w:val="21"/>
          <w:lang w:val="es-ES"/>
        </w:rPr>
        <w:t xml:space="preserve">y </w:t>
      </w:r>
      <w:r w:rsidRPr="0058103C">
        <w:rPr>
          <w:sz w:val="21"/>
          <w:szCs w:val="21"/>
          <w:lang w:val="es-ES"/>
        </w:rPr>
        <w:t xml:space="preserve">director de investigación de </w:t>
      </w:r>
      <w:proofErr w:type="spellStart"/>
      <w:r w:rsidRPr="0058103C">
        <w:rPr>
          <w:sz w:val="21"/>
          <w:szCs w:val="21"/>
          <w:lang w:val="es-ES"/>
        </w:rPr>
        <w:t>IHCantabria</w:t>
      </w:r>
      <w:proofErr w:type="spellEnd"/>
      <w:r w:rsidRPr="0058103C">
        <w:rPr>
          <w:sz w:val="21"/>
          <w:szCs w:val="21"/>
          <w:lang w:val="es-ES"/>
        </w:rPr>
        <w:t>-Instituto de Hidráulica Ambiental</w:t>
      </w:r>
      <w:r w:rsidR="00C6782E">
        <w:rPr>
          <w:sz w:val="21"/>
          <w:szCs w:val="21"/>
          <w:lang w:val="es-ES"/>
        </w:rPr>
        <w:t xml:space="preserve">, ha realizado la ponencia de apertura exponiendo </w:t>
      </w:r>
      <w:r w:rsidR="007E6CCB">
        <w:rPr>
          <w:sz w:val="21"/>
          <w:szCs w:val="21"/>
          <w:lang w:val="es-ES"/>
        </w:rPr>
        <w:t xml:space="preserve">el gran potencial de las líneas de investigación de este centro puntero, que entre otros ámbitos trabaja en el uso de algas marinas para diferentes aplicaciones como alternativa sostenible a otros recursos actuales. </w:t>
      </w:r>
    </w:p>
    <w:p w14:paraId="446AA82A" w14:textId="77777777" w:rsidR="007E6CCB" w:rsidRDefault="007E6CCB" w:rsidP="0058103C">
      <w:pPr>
        <w:jc w:val="both"/>
        <w:rPr>
          <w:sz w:val="21"/>
          <w:szCs w:val="21"/>
          <w:lang w:val="es-ES"/>
        </w:rPr>
      </w:pPr>
    </w:p>
    <w:p w14:paraId="2C5D7032" w14:textId="35C2D7D0" w:rsidR="007E6CCB" w:rsidRPr="007E6CCB" w:rsidRDefault="007E6CCB" w:rsidP="007E6CCB">
      <w:pPr>
        <w:jc w:val="both"/>
        <w:rPr>
          <w:sz w:val="21"/>
          <w:szCs w:val="21"/>
          <w:lang w:val="es-ES"/>
        </w:rPr>
      </w:pPr>
      <w:r>
        <w:rPr>
          <w:sz w:val="21"/>
          <w:szCs w:val="21"/>
          <w:lang w:val="es-ES"/>
        </w:rPr>
        <w:t xml:space="preserve">A continuación se ha celebrado una primera mesa de debate en torno al apartado económico vinculado a la actividad pesquera que ha contado con la participación de </w:t>
      </w:r>
      <w:r w:rsidRPr="007E6CCB">
        <w:rPr>
          <w:b/>
          <w:bCs/>
          <w:sz w:val="21"/>
          <w:szCs w:val="21"/>
          <w:lang w:val="es-ES"/>
        </w:rPr>
        <w:t>Silvia Solís</w:t>
      </w:r>
      <w:r>
        <w:rPr>
          <w:sz w:val="21"/>
          <w:szCs w:val="21"/>
          <w:lang w:val="es-ES"/>
        </w:rPr>
        <w:t>, s</w:t>
      </w:r>
      <w:r w:rsidRPr="007E6CCB">
        <w:rPr>
          <w:sz w:val="21"/>
          <w:szCs w:val="21"/>
          <w:lang w:val="es-ES"/>
        </w:rPr>
        <w:t>ubdirectora General de Sostenibilidad Económica y Asuntos Sociales</w:t>
      </w:r>
      <w:r>
        <w:rPr>
          <w:sz w:val="21"/>
          <w:szCs w:val="21"/>
          <w:lang w:val="es-ES"/>
        </w:rPr>
        <w:t xml:space="preserve"> del Ministerio de Agricultura Pesca y Alimentación; </w:t>
      </w:r>
      <w:r w:rsidRPr="007E6CCB">
        <w:rPr>
          <w:b/>
          <w:bCs/>
          <w:sz w:val="21"/>
          <w:szCs w:val="21"/>
          <w:lang w:val="es-ES"/>
        </w:rPr>
        <w:t>Fabián Ben Conde</w:t>
      </w:r>
      <w:r>
        <w:rPr>
          <w:sz w:val="21"/>
          <w:szCs w:val="21"/>
          <w:lang w:val="es-ES"/>
        </w:rPr>
        <w:t>, d</w:t>
      </w:r>
      <w:r w:rsidRPr="007E6CCB">
        <w:rPr>
          <w:sz w:val="21"/>
          <w:szCs w:val="21"/>
          <w:lang w:val="es-ES"/>
        </w:rPr>
        <w:t>irector de Proyectos e Innovación</w:t>
      </w:r>
      <w:r>
        <w:rPr>
          <w:sz w:val="21"/>
          <w:szCs w:val="21"/>
          <w:lang w:val="es-ES"/>
        </w:rPr>
        <w:t xml:space="preserve"> de la Federación Española </w:t>
      </w:r>
      <w:r>
        <w:rPr>
          <w:sz w:val="21"/>
          <w:szCs w:val="21"/>
          <w:lang w:val="es-ES"/>
        </w:rPr>
        <w:lastRenderedPageBreak/>
        <w:t>de Cofradías de P</w:t>
      </w:r>
      <w:r w:rsidRPr="007E6CCB">
        <w:rPr>
          <w:sz w:val="21"/>
          <w:szCs w:val="21"/>
          <w:lang w:val="es-ES"/>
        </w:rPr>
        <w:t>escadores</w:t>
      </w:r>
      <w:r>
        <w:rPr>
          <w:sz w:val="21"/>
          <w:szCs w:val="21"/>
          <w:lang w:val="es-ES"/>
        </w:rPr>
        <w:t xml:space="preserve">; </w:t>
      </w:r>
      <w:r w:rsidRPr="007E6CCB">
        <w:rPr>
          <w:sz w:val="21"/>
          <w:szCs w:val="21"/>
          <w:lang w:val="es-ES"/>
        </w:rPr>
        <w:t xml:space="preserve"> </w:t>
      </w:r>
      <w:r w:rsidRPr="007E6CCB">
        <w:rPr>
          <w:b/>
          <w:bCs/>
          <w:sz w:val="21"/>
          <w:szCs w:val="21"/>
          <w:lang w:val="es-ES"/>
        </w:rPr>
        <w:t>Mikel Ortiz</w:t>
      </w:r>
      <w:r>
        <w:rPr>
          <w:sz w:val="21"/>
          <w:szCs w:val="21"/>
          <w:lang w:val="es-ES"/>
        </w:rPr>
        <w:t xml:space="preserve">, </w:t>
      </w:r>
      <w:r w:rsidRPr="007E6CCB">
        <w:rPr>
          <w:sz w:val="21"/>
          <w:szCs w:val="21"/>
          <w:lang w:val="es-ES"/>
        </w:rPr>
        <w:t xml:space="preserve">Gerente de OPPAO- Organización de Productores de Pesca de Altura de </w:t>
      </w:r>
      <w:proofErr w:type="spellStart"/>
      <w:r w:rsidRPr="007E6CCB">
        <w:rPr>
          <w:sz w:val="21"/>
          <w:szCs w:val="21"/>
          <w:lang w:val="es-ES"/>
        </w:rPr>
        <w:t>Ondarroa</w:t>
      </w:r>
      <w:proofErr w:type="spellEnd"/>
      <w:r w:rsidRPr="007E6CCB">
        <w:rPr>
          <w:sz w:val="21"/>
          <w:szCs w:val="21"/>
          <w:lang w:val="es-ES"/>
        </w:rPr>
        <w:t xml:space="preserve"> Miembro de CEPESCA</w:t>
      </w:r>
      <w:r>
        <w:rPr>
          <w:sz w:val="21"/>
          <w:szCs w:val="21"/>
          <w:lang w:val="es-ES"/>
        </w:rPr>
        <w:t>.</w:t>
      </w:r>
    </w:p>
    <w:p w14:paraId="2592E562" w14:textId="6DA5C418" w:rsidR="00027CB5" w:rsidRPr="00027CB5" w:rsidRDefault="00027CB5" w:rsidP="00027CB5">
      <w:pPr>
        <w:pStyle w:val="NormalWeb"/>
        <w:rPr>
          <w:rFonts w:ascii="Arial" w:hAnsi="Arial" w:cs="Arial"/>
          <w:color w:val="000000" w:themeColor="text1"/>
          <w:kern w:val="24"/>
          <w:sz w:val="21"/>
          <w:szCs w:val="21"/>
        </w:rPr>
      </w:pPr>
      <w:r w:rsidRPr="00027CB5">
        <w:rPr>
          <w:rFonts w:ascii="Arial" w:hAnsi="Arial" w:cs="Arial"/>
          <w:color w:val="000000" w:themeColor="text1"/>
          <w:kern w:val="24"/>
          <w:sz w:val="21"/>
          <w:szCs w:val="21"/>
        </w:rPr>
        <w:t xml:space="preserve">La segunda mesa redonda </w:t>
      </w:r>
      <w:r>
        <w:rPr>
          <w:rFonts w:ascii="Arial" w:hAnsi="Arial" w:cs="Arial"/>
          <w:color w:val="000000" w:themeColor="text1"/>
          <w:kern w:val="24"/>
          <w:sz w:val="21"/>
          <w:szCs w:val="21"/>
        </w:rPr>
        <w:t xml:space="preserve">ha contado con dos representantes del sector financiero en el ámbito de la Economía Azul: </w:t>
      </w:r>
      <w:r w:rsidRPr="00027CB5">
        <w:rPr>
          <w:rFonts w:ascii="Arial" w:hAnsi="Arial" w:cs="Arial"/>
          <w:b/>
          <w:bCs/>
          <w:color w:val="000000" w:themeColor="text1"/>
          <w:kern w:val="24"/>
          <w:sz w:val="21"/>
          <w:szCs w:val="21"/>
        </w:rPr>
        <w:t>Javier Fraga</w:t>
      </w:r>
      <w:r>
        <w:rPr>
          <w:rFonts w:ascii="Arial" w:hAnsi="Arial" w:cs="Arial"/>
          <w:b/>
          <w:bCs/>
          <w:color w:val="000000" w:themeColor="text1"/>
          <w:kern w:val="24"/>
          <w:sz w:val="21"/>
          <w:szCs w:val="21"/>
        </w:rPr>
        <w:t>,</w:t>
      </w:r>
      <w:r w:rsidRPr="00027CB5">
        <w:rPr>
          <w:rFonts w:ascii="Arial" w:hAnsi="Arial" w:cs="Arial"/>
          <w:color w:val="000000" w:themeColor="text1"/>
          <w:kern w:val="24"/>
          <w:sz w:val="21"/>
          <w:szCs w:val="21"/>
        </w:rPr>
        <w:t xml:space="preserve"> </w:t>
      </w:r>
      <w:r>
        <w:rPr>
          <w:rFonts w:ascii="Arial" w:hAnsi="Arial" w:cs="Arial"/>
          <w:color w:val="000000" w:themeColor="text1"/>
          <w:kern w:val="24"/>
          <w:sz w:val="21"/>
          <w:szCs w:val="21"/>
        </w:rPr>
        <w:t xml:space="preserve">director de </w:t>
      </w:r>
      <w:proofErr w:type="spellStart"/>
      <w:r w:rsidRPr="00027CB5">
        <w:rPr>
          <w:rFonts w:ascii="Arial" w:hAnsi="Arial" w:cs="Arial"/>
          <w:color w:val="000000" w:themeColor="text1"/>
          <w:kern w:val="24"/>
          <w:sz w:val="21"/>
          <w:szCs w:val="21"/>
        </w:rPr>
        <w:t>Abanca</w:t>
      </w:r>
      <w:proofErr w:type="spellEnd"/>
      <w:r w:rsidRPr="00027CB5">
        <w:rPr>
          <w:rFonts w:ascii="Arial" w:hAnsi="Arial" w:cs="Arial"/>
          <w:color w:val="000000" w:themeColor="text1"/>
          <w:kern w:val="24"/>
          <w:sz w:val="21"/>
          <w:szCs w:val="21"/>
        </w:rPr>
        <w:t xml:space="preserve"> Mar </w:t>
      </w:r>
      <w:r>
        <w:rPr>
          <w:rFonts w:ascii="Arial" w:hAnsi="Arial" w:cs="Arial"/>
          <w:color w:val="000000" w:themeColor="text1"/>
          <w:kern w:val="24"/>
          <w:sz w:val="21"/>
          <w:szCs w:val="21"/>
        </w:rPr>
        <w:t xml:space="preserve">y </w:t>
      </w:r>
      <w:r w:rsidRPr="00027CB5">
        <w:rPr>
          <w:rFonts w:ascii="Arial" w:hAnsi="Arial" w:cs="Arial"/>
          <w:b/>
          <w:bCs/>
          <w:color w:val="000000" w:themeColor="text1"/>
          <w:kern w:val="24"/>
          <w:sz w:val="21"/>
          <w:szCs w:val="21"/>
        </w:rPr>
        <w:t>Lucinio Muñoz</w:t>
      </w:r>
      <w:r>
        <w:rPr>
          <w:rFonts w:ascii="Arial" w:hAnsi="Arial" w:cs="Arial"/>
          <w:color w:val="000000" w:themeColor="text1"/>
          <w:kern w:val="24"/>
          <w:sz w:val="21"/>
          <w:szCs w:val="21"/>
        </w:rPr>
        <w:t xml:space="preserve">, director de la Fundación ICO. Con </w:t>
      </w:r>
      <w:proofErr w:type="spellStart"/>
      <w:r>
        <w:rPr>
          <w:rFonts w:ascii="Arial" w:hAnsi="Arial" w:cs="Arial"/>
          <w:color w:val="000000" w:themeColor="text1"/>
          <w:kern w:val="24"/>
          <w:sz w:val="21"/>
          <w:szCs w:val="21"/>
        </w:rPr>
        <w:t>ha</w:t>
      </w:r>
      <w:proofErr w:type="spellEnd"/>
      <w:r>
        <w:rPr>
          <w:rFonts w:ascii="Arial" w:hAnsi="Arial" w:cs="Arial"/>
          <w:color w:val="000000" w:themeColor="text1"/>
          <w:kern w:val="24"/>
          <w:sz w:val="21"/>
          <w:szCs w:val="21"/>
        </w:rPr>
        <w:t xml:space="preserve"> ellos ha debatido </w:t>
      </w:r>
      <w:r w:rsidRPr="00027CB5">
        <w:rPr>
          <w:rFonts w:ascii="Arial" w:hAnsi="Arial" w:cs="Arial"/>
          <w:b/>
          <w:bCs/>
          <w:color w:val="000000" w:themeColor="text1"/>
          <w:kern w:val="24"/>
          <w:sz w:val="21"/>
          <w:szCs w:val="21"/>
        </w:rPr>
        <w:t>Yolanda Piedr</w:t>
      </w:r>
      <w:r>
        <w:rPr>
          <w:rFonts w:ascii="Arial" w:hAnsi="Arial" w:cs="Arial"/>
          <w:b/>
          <w:bCs/>
          <w:color w:val="000000" w:themeColor="text1"/>
          <w:kern w:val="24"/>
          <w:sz w:val="21"/>
          <w:szCs w:val="21"/>
        </w:rPr>
        <w:t>a</w:t>
      </w:r>
      <w:r w:rsidRPr="00027CB5">
        <w:rPr>
          <w:rFonts w:ascii="Arial" w:hAnsi="Arial" w:cs="Arial"/>
          <w:color w:val="000000" w:themeColor="text1"/>
          <w:kern w:val="24"/>
          <w:sz w:val="21"/>
          <w:szCs w:val="21"/>
        </w:rPr>
        <w:t>; P</w:t>
      </w:r>
      <w:r w:rsidRPr="00027CB5">
        <w:rPr>
          <w:rFonts w:ascii="Arial" w:hAnsi="Arial" w:cs="Arial"/>
          <w:color w:val="000000" w:themeColor="text1"/>
          <w:kern w:val="24"/>
          <w:sz w:val="21"/>
          <w:szCs w:val="21"/>
        </w:rPr>
        <w:t>residenta del Clúster Marítimo de les Illes Balears</w:t>
      </w:r>
      <w:r>
        <w:rPr>
          <w:rFonts w:ascii="Arial" w:hAnsi="Arial" w:cs="Arial"/>
          <w:color w:val="000000" w:themeColor="text1"/>
          <w:kern w:val="24"/>
          <w:sz w:val="21"/>
          <w:szCs w:val="21"/>
        </w:rPr>
        <w:t>.</w:t>
      </w:r>
    </w:p>
    <w:p w14:paraId="02C61547" w14:textId="68EBEFF0" w:rsidR="002D68D1" w:rsidRPr="00B03F48" w:rsidRDefault="00027CB5" w:rsidP="00C66047">
      <w:pPr>
        <w:jc w:val="both"/>
        <w:rPr>
          <w:b/>
          <w:bCs/>
          <w:sz w:val="21"/>
          <w:szCs w:val="21"/>
          <w:lang w:val="es-ES"/>
        </w:rPr>
      </w:pPr>
      <w:r>
        <w:rPr>
          <w:b/>
          <w:bCs/>
          <w:sz w:val="21"/>
          <w:szCs w:val="21"/>
          <w:lang w:val="es-ES"/>
        </w:rPr>
        <w:t>Segundo volumen de los Cuadernos: la Economía Azul</w:t>
      </w:r>
      <w:r w:rsidR="004B3F83">
        <w:rPr>
          <w:b/>
          <w:bCs/>
          <w:sz w:val="21"/>
          <w:szCs w:val="21"/>
          <w:lang w:val="es-ES"/>
        </w:rPr>
        <w:t xml:space="preserve"> en la Unión Europea</w:t>
      </w:r>
    </w:p>
    <w:p w14:paraId="2BD78FA0" w14:textId="07ADAC98" w:rsidR="002D68D1" w:rsidRPr="00B03F48" w:rsidRDefault="002D68D1" w:rsidP="00C66047">
      <w:pPr>
        <w:jc w:val="both"/>
        <w:rPr>
          <w:sz w:val="21"/>
          <w:szCs w:val="21"/>
          <w:lang w:val="es-ES"/>
        </w:rPr>
      </w:pPr>
    </w:p>
    <w:p w14:paraId="059A9FAA" w14:textId="77777777" w:rsidR="004B3F83" w:rsidRPr="004B3F83" w:rsidRDefault="004B3F83" w:rsidP="004B3F83">
      <w:pPr>
        <w:jc w:val="both"/>
        <w:rPr>
          <w:sz w:val="21"/>
          <w:szCs w:val="21"/>
        </w:rPr>
      </w:pPr>
      <w:r w:rsidRPr="004B3F83">
        <w:rPr>
          <w:sz w:val="21"/>
          <w:szCs w:val="21"/>
        </w:rPr>
        <w:t xml:space="preserve">Según las cifras más recientes, los sectores establecidos de la economía azul de la UE emplearon directamente a cerca de </w:t>
      </w:r>
      <w:r w:rsidRPr="00A15661">
        <w:rPr>
          <w:b/>
          <w:bCs/>
          <w:sz w:val="21"/>
          <w:szCs w:val="21"/>
        </w:rPr>
        <w:t>4,45 millones de personas</w:t>
      </w:r>
      <w:r w:rsidRPr="004B3F83">
        <w:rPr>
          <w:sz w:val="21"/>
          <w:szCs w:val="21"/>
        </w:rPr>
        <w:t xml:space="preserve">, generando alrededor de </w:t>
      </w:r>
      <w:r w:rsidRPr="00A15661">
        <w:rPr>
          <w:b/>
          <w:bCs/>
          <w:sz w:val="21"/>
          <w:szCs w:val="21"/>
        </w:rPr>
        <w:t>667.200 millones de euros en facturación</w:t>
      </w:r>
      <w:r w:rsidRPr="004B3F83">
        <w:rPr>
          <w:sz w:val="21"/>
          <w:szCs w:val="21"/>
        </w:rPr>
        <w:t xml:space="preserve"> (calculado a partir de la suma de la facturación de cada sector) y </w:t>
      </w:r>
      <w:r w:rsidRPr="00A15661">
        <w:rPr>
          <w:b/>
          <w:bCs/>
          <w:sz w:val="21"/>
          <w:szCs w:val="21"/>
        </w:rPr>
        <w:t>183.900 millones de euros en valor añadido bruto</w:t>
      </w:r>
      <w:r w:rsidRPr="004B3F83">
        <w:rPr>
          <w:sz w:val="21"/>
          <w:szCs w:val="21"/>
        </w:rPr>
        <w:t>. El beneficio bruto fue de aproximadamente 72.900 millones de euros. La inversión neta de bienes tangibles fue de 6.100 millones de euros, con una ratio de inversión neto del 3,3% .</w:t>
      </w:r>
    </w:p>
    <w:p w14:paraId="17EBFC3A" w14:textId="77777777" w:rsidR="004B3F83" w:rsidRPr="004B3F83" w:rsidRDefault="004B3F83" w:rsidP="004B3F83">
      <w:pPr>
        <w:jc w:val="both"/>
        <w:rPr>
          <w:sz w:val="21"/>
          <w:szCs w:val="21"/>
        </w:rPr>
      </w:pPr>
    </w:p>
    <w:p w14:paraId="5337EAC7" w14:textId="77777777" w:rsidR="004B3F83" w:rsidRPr="004B3F83" w:rsidRDefault="004B3F83" w:rsidP="004B3F83">
      <w:pPr>
        <w:jc w:val="both"/>
        <w:rPr>
          <w:sz w:val="21"/>
          <w:szCs w:val="21"/>
        </w:rPr>
      </w:pPr>
      <w:r w:rsidRPr="004B3F83">
        <w:rPr>
          <w:sz w:val="21"/>
          <w:szCs w:val="21"/>
        </w:rPr>
        <w:t xml:space="preserve">Dentro de los sectores establecidos, dos sectores destacan particularmente: </w:t>
      </w:r>
      <w:r w:rsidRPr="00A15661">
        <w:rPr>
          <w:b/>
          <w:bCs/>
          <w:sz w:val="21"/>
          <w:szCs w:val="21"/>
        </w:rPr>
        <w:t>el sector de los recursos vivos</w:t>
      </w:r>
      <w:r w:rsidRPr="004B3F83">
        <w:rPr>
          <w:sz w:val="21"/>
          <w:szCs w:val="21"/>
        </w:rPr>
        <w:t xml:space="preserve"> y el </w:t>
      </w:r>
      <w:r w:rsidRPr="00A15661">
        <w:rPr>
          <w:b/>
          <w:bCs/>
          <w:sz w:val="21"/>
          <w:szCs w:val="21"/>
        </w:rPr>
        <w:t>sector de las energías renovables marinas</w:t>
      </w:r>
      <w:r w:rsidRPr="004B3F83">
        <w:rPr>
          <w:sz w:val="21"/>
          <w:szCs w:val="21"/>
        </w:rPr>
        <w:t xml:space="preserve">. El primero de ellos con ganancias brutas valoradas en 7.200 millones de euros en 2019, experimentando un aumento del 41% con respecto a 2009 (donde había ganancias de 5.100 millones de euros). La facturación alcanzó casi 121.100 millones de euros, también con un crecimiento notable respecto a 2009, un 29% más. El sector invirtió 2.500 millones de euros netos en bienes materiales, cifra que ha oscilado entre 1.800 millones de euros en 2011 y 3.000 millones de euros en 2009. El segundo sector mencionado, el sector de las energías renovables marinas (principalmente la eólica marina), también ha experimentado tendencias crecientes, con un aumento del empleo del 17% en 2019 respecto al año anterior. </w:t>
      </w:r>
    </w:p>
    <w:p w14:paraId="2336A67E" w14:textId="77777777" w:rsidR="004B3F83" w:rsidRPr="004B3F83" w:rsidRDefault="004B3F83" w:rsidP="004B3F83">
      <w:pPr>
        <w:jc w:val="both"/>
        <w:rPr>
          <w:sz w:val="21"/>
          <w:szCs w:val="21"/>
        </w:rPr>
      </w:pPr>
      <w:r w:rsidRPr="004B3F83">
        <w:rPr>
          <w:sz w:val="21"/>
          <w:szCs w:val="21"/>
        </w:rPr>
        <w:t>Si se hace la comparativa desde el año 2009, los dos sectores que han experimentado las mayores tendencias de crecimiento en términos de Valor Añadido Bruto (VAB) de la economía azul de la UE fueron los recursos vivos (+31%) y la construcción y reparación naval (+39%).</w:t>
      </w:r>
    </w:p>
    <w:p w14:paraId="029DED38" w14:textId="77777777" w:rsidR="004B3F83" w:rsidRPr="004B3F83" w:rsidRDefault="004B3F83" w:rsidP="004B3F83">
      <w:pPr>
        <w:jc w:val="both"/>
        <w:rPr>
          <w:sz w:val="21"/>
          <w:szCs w:val="21"/>
        </w:rPr>
      </w:pPr>
    </w:p>
    <w:p w14:paraId="7FA22EB8" w14:textId="77777777" w:rsidR="004B3F83" w:rsidRPr="004B3F83" w:rsidRDefault="004B3F83" w:rsidP="004B3F83">
      <w:pPr>
        <w:jc w:val="both"/>
        <w:rPr>
          <w:sz w:val="21"/>
          <w:szCs w:val="21"/>
        </w:rPr>
      </w:pPr>
      <w:r w:rsidRPr="004B3F83">
        <w:rPr>
          <w:sz w:val="21"/>
          <w:szCs w:val="21"/>
        </w:rPr>
        <w:t xml:space="preserve">Dentro de los sectores emergentes e innovadores, el subsector más destacado de la bioeconomía azul es </w:t>
      </w:r>
      <w:r w:rsidRPr="004B3F83">
        <w:rPr>
          <w:b/>
          <w:bCs/>
          <w:sz w:val="21"/>
          <w:szCs w:val="21"/>
        </w:rPr>
        <w:t>el sector de las algas</w:t>
      </w:r>
      <w:r w:rsidRPr="004B3F83">
        <w:rPr>
          <w:sz w:val="21"/>
          <w:szCs w:val="21"/>
        </w:rPr>
        <w:t xml:space="preserve">. Las estimaciones socioeconómicas disponibles de la producción de algas en Europa establecen que se genera un volumen de negocios anual muy superior a los 10 millones de euros en los Estados Miembros con el mayor número de instalaciones de producción en </w:t>
      </w:r>
      <w:r w:rsidRPr="004B3F83">
        <w:rPr>
          <w:b/>
          <w:bCs/>
          <w:sz w:val="21"/>
          <w:szCs w:val="21"/>
        </w:rPr>
        <w:t>Francia, España y Portugal</w:t>
      </w:r>
      <w:r w:rsidRPr="004B3F83">
        <w:rPr>
          <w:sz w:val="21"/>
          <w:szCs w:val="21"/>
        </w:rPr>
        <w:t>. El total de empresas dedicadas a las algas en el conjunto de la UE es de 443 .</w:t>
      </w:r>
    </w:p>
    <w:p w14:paraId="0BE73D96" w14:textId="77777777" w:rsidR="004B3F83" w:rsidRPr="004B3F83" w:rsidRDefault="004B3F83" w:rsidP="004B3F83">
      <w:pPr>
        <w:jc w:val="both"/>
        <w:rPr>
          <w:sz w:val="21"/>
          <w:szCs w:val="21"/>
        </w:rPr>
      </w:pPr>
    </w:p>
    <w:p w14:paraId="41326DE5" w14:textId="77777777" w:rsidR="004B3F83" w:rsidRPr="004B3F83" w:rsidRDefault="004B3F83" w:rsidP="004B3F83">
      <w:pPr>
        <w:jc w:val="both"/>
        <w:rPr>
          <w:sz w:val="21"/>
          <w:szCs w:val="21"/>
        </w:rPr>
      </w:pPr>
      <w:r w:rsidRPr="004B3F83">
        <w:rPr>
          <w:sz w:val="21"/>
          <w:szCs w:val="21"/>
        </w:rPr>
        <w:t xml:space="preserve">En lo que respecta a la </w:t>
      </w:r>
      <w:r w:rsidRPr="00A15661">
        <w:rPr>
          <w:b/>
          <w:bCs/>
          <w:sz w:val="21"/>
          <w:szCs w:val="21"/>
        </w:rPr>
        <w:t>desalación</w:t>
      </w:r>
      <w:r w:rsidRPr="004B3F83">
        <w:rPr>
          <w:sz w:val="21"/>
          <w:szCs w:val="21"/>
        </w:rPr>
        <w:t>, sigue siendo un fuerte sector emergente de la economía azul, con más de 2.300 plantas desaladoras operativas en la UE, en su mayoría repartidas por el Mediterráneo, que producen alrededor de 9,2 millones de metros cúbicos por día.</w:t>
      </w:r>
    </w:p>
    <w:p w14:paraId="46AED231" w14:textId="77777777" w:rsidR="004B3F83" w:rsidRPr="004B3F83" w:rsidRDefault="004B3F83" w:rsidP="004B3F83">
      <w:pPr>
        <w:rPr>
          <w:sz w:val="21"/>
          <w:szCs w:val="21"/>
        </w:rPr>
      </w:pPr>
    </w:p>
    <w:p w14:paraId="2B749982" w14:textId="3BC28023" w:rsidR="00C66047" w:rsidRDefault="004B3F83" w:rsidP="004B3F83">
      <w:pPr>
        <w:jc w:val="both"/>
        <w:rPr>
          <w:sz w:val="21"/>
          <w:szCs w:val="21"/>
        </w:rPr>
      </w:pPr>
      <w:r w:rsidRPr="004B3F83">
        <w:rPr>
          <w:sz w:val="21"/>
          <w:szCs w:val="21"/>
        </w:rPr>
        <w:t xml:space="preserve">Además, las </w:t>
      </w:r>
      <w:r w:rsidRPr="00A15661">
        <w:rPr>
          <w:b/>
          <w:bCs/>
          <w:sz w:val="21"/>
          <w:szCs w:val="21"/>
        </w:rPr>
        <w:t>actividades de robótica e innovación</w:t>
      </w:r>
      <w:r w:rsidRPr="004B3F83">
        <w:rPr>
          <w:sz w:val="21"/>
          <w:szCs w:val="21"/>
        </w:rPr>
        <w:t xml:space="preserve"> de tecnología azul siguen siendo facilitadores clave para la transición hacia la sostenibilidad y la creación de gemelos digitales del océano.</w:t>
      </w:r>
    </w:p>
    <w:p w14:paraId="1DF44189" w14:textId="77777777" w:rsidR="004B3F83" w:rsidRDefault="004B3F83" w:rsidP="004B3F83">
      <w:pPr>
        <w:jc w:val="both"/>
        <w:rPr>
          <w:sz w:val="21"/>
          <w:szCs w:val="21"/>
        </w:rPr>
      </w:pPr>
    </w:p>
    <w:p w14:paraId="3D6F51E5" w14:textId="35735BCF" w:rsidR="004B3F83" w:rsidRDefault="004B3F83" w:rsidP="004B3F83">
      <w:pPr>
        <w:jc w:val="both"/>
        <w:rPr>
          <w:sz w:val="21"/>
          <w:szCs w:val="21"/>
        </w:rPr>
      </w:pPr>
      <w:r w:rsidRPr="004B3F83">
        <w:rPr>
          <w:b/>
          <w:bCs/>
          <w:sz w:val="21"/>
          <w:szCs w:val="21"/>
        </w:rPr>
        <w:t>Puedes consultar toda la información sobre el segundo volumen de los Cuadernos de Finanzas sostenibles y economía circular en el siguiente enlace:</w:t>
      </w:r>
      <w:r>
        <w:rPr>
          <w:sz w:val="21"/>
          <w:szCs w:val="21"/>
        </w:rPr>
        <w:t xml:space="preserve"> </w:t>
      </w:r>
      <w:r w:rsidRPr="004B3F83">
        <w:rPr>
          <w:color w:val="FF0000"/>
          <w:sz w:val="21"/>
          <w:szCs w:val="21"/>
        </w:rPr>
        <w:t>Pendiente</w:t>
      </w:r>
    </w:p>
    <w:p w14:paraId="1E80E3C1" w14:textId="77777777" w:rsidR="00B03F48" w:rsidRDefault="00B03F48" w:rsidP="00C66047">
      <w:pPr>
        <w:jc w:val="both"/>
        <w:rPr>
          <w:sz w:val="21"/>
          <w:szCs w:val="21"/>
        </w:rPr>
      </w:pPr>
    </w:p>
    <w:p w14:paraId="007B6E1B" w14:textId="77777777" w:rsidR="004B3F83" w:rsidRDefault="004B3F83" w:rsidP="00C66047">
      <w:pPr>
        <w:jc w:val="both"/>
        <w:rPr>
          <w:sz w:val="21"/>
          <w:szCs w:val="21"/>
        </w:rPr>
      </w:pPr>
    </w:p>
    <w:p w14:paraId="00E2B4F9" w14:textId="77777777" w:rsidR="004B3F83" w:rsidRPr="00B03F48" w:rsidRDefault="004B3F83" w:rsidP="00C66047">
      <w:pPr>
        <w:jc w:val="both"/>
        <w:rPr>
          <w:sz w:val="21"/>
          <w:szCs w:val="21"/>
        </w:rPr>
      </w:pPr>
    </w:p>
    <w:p w14:paraId="2492A869" w14:textId="7852E857" w:rsidR="006417B5" w:rsidRPr="00B03F48" w:rsidRDefault="0088235C" w:rsidP="00583192">
      <w:pPr>
        <w:pBdr>
          <w:bottom w:val="none" w:sz="0" w:space="7" w:color="000000"/>
        </w:pBdr>
        <w:shd w:val="clear" w:color="auto" w:fill="FFFFFF"/>
        <w:spacing w:line="240" w:lineRule="auto"/>
        <w:rPr>
          <w:b/>
          <w:sz w:val="20"/>
          <w:szCs w:val="20"/>
          <w:highlight w:val="white"/>
        </w:rPr>
      </w:pPr>
      <w:r w:rsidRPr="00B03F48">
        <w:rPr>
          <w:b/>
          <w:sz w:val="20"/>
          <w:szCs w:val="20"/>
          <w:highlight w:val="white"/>
        </w:rPr>
        <w:t>Sobre la Fundación ICO</w:t>
      </w:r>
    </w:p>
    <w:p w14:paraId="16846473" w14:textId="77777777" w:rsidR="00583192" w:rsidRPr="00B03F48" w:rsidRDefault="00583192" w:rsidP="00583192">
      <w:pPr>
        <w:pBdr>
          <w:bottom w:val="none" w:sz="0" w:space="7" w:color="000000"/>
        </w:pBdr>
        <w:shd w:val="clear" w:color="auto" w:fill="FFFFFF"/>
        <w:spacing w:line="240" w:lineRule="auto"/>
        <w:jc w:val="both"/>
        <w:rPr>
          <w:sz w:val="10"/>
          <w:szCs w:val="10"/>
        </w:rPr>
      </w:pPr>
    </w:p>
    <w:p w14:paraId="29537BF8" w14:textId="6A95F928" w:rsidR="006417B5" w:rsidRPr="00B03F48" w:rsidRDefault="0088235C" w:rsidP="00583192">
      <w:pPr>
        <w:pBdr>
          <w:bottom w:val="none" w:sz="0" w:space="7" w:color="000000"/>
        </w:pBdr>
        <w:shd w:val="clear" w:color="auto" w:fill="FFFFFF"/>
        <w:spacing w:line="240" w:lineRule="auto"/>
        <w:jc w:val="both"/>
        <w:rPr>
          <w:color w:val="333333"/>
          <w:sz w:val="20"/>
          <w:szCs w:val="20"/>
          <w:highlight w:val="white"/>
        </w:rPr>
      </w:pPr>
      <w:r w:rsidRPr="00B03F48">
        <w:rPr>
          <w:sz w:val="20"/>
          <w:szCs w:val="20"/>
        </w:rPr>
        <w:t xml:space="preserve">La Fundación ICO, fundación del Sector público estatal, tiene como misión contribuir al desarrollo de la sociedad en ámbitos afines a la actividad y patrimonio del ICO, con el objetivo de llegar a ser líder en la promoción y difusión del conocimiento, con vocación internacional y sobre dos ejes: la economía y </w:t>
      </w:r>
      <w:r w:rsidR="00B9099A" w:rsidRPr="00B03F48">
        <w:rPr>
          <w:sz w:val="20"/>
          <w:szCs w:val="20"/>
        </w:rPr>
        <w:t>la arquitectura</w:t>
      </w:r>
      <w:r w:rsidRPr="00B03F48">
        <w:rPr>
          <w:sz w:val="20"/>
          <w:szCs w:val="20"/>
        </w:rPr>
        <w:t>.</w:t>
      </w:r>
    </w:p>
    <w:p w14:paraId="02C798F0" w14:textId="42AAF0DB" w:rsidR="006417B5" w:rsidRPr="00B03F48" w:rsidRDefault="0039740E">
      <w:pPr>
        <w:pBdr>
          <w:bottom w:val="none" w:sz="0" w:space="7" w:color="000000"/>
        </w:pBdr>
        <w:shd w:val="clear" w:color="auto" w:fill="FFFFFF"/>
        <w:spacing w:after="160" w:line="327" w:lineRule="auto"/>
        <w:rPr>
          <w:rStyle w:val="Hipervnculo"/>
          <w:bCs/>
          <w:sz w:val="20"/>
          <w:szCs w:val="20"/>
        </w:rPr>
      </w:pPr>
      <w:hyperlink r:id="rId9">
        <w:r w:rsidR="0088235C" w:rsidRPr="00B03F48">
          <w:rPr>
            <w:rStyle w:val="Hipervnculo"/>
            <w:bCs/>
            <w:sz w:val="20"/>
            <w:szCs w:val="20"/>
          </w:rPr>
          <w:t>http://www.fundacionico.es/</w:t>
        </w:r>
      </w:hyperlink>
      <w:r w:rsidR="00583192" w:rsidRPr="00B03F48">
        <w:rPr>
          <w:rStyle w:val="Hipervnculo"/>
          <w:bCs/>
          <w:sz w:val="20"/>
          <w:szCs w:val="20"/>
        </w:rPr>
        <w:t xml:space="preserve"> </w:t>
      </w:r>
    </w:p>
    <w:p w14:paraId="3E42D95F" w14:textId="76D6FB91" w:rsidR="006417B5" w:rsidRPr="00B03F48" w:rsidRDefault="0088235C" w:rsidP="00583192">
      <w:pPr>
        <w:pBdr>
          <w:bottom w:val="none" w:sz="0" w:space="7" w:color="000000"/>
        </w:pBdr>
        <w:shd w:val="clear" w:color="auto" w:fill="FFFFFF"/>
        <w:spacing w:line="240" w:lineRule="auto"/>
        <w:jc w:val="both"/>
        <w:rPr>
          <w:b/>
          <w:bCs/>
          <w:sz w:val="20"/>
          <w:szCs w:val="20"/>
        </w:rPr>
      </w:pPr>
      <w:r w:rsidRPr="00B03F48">
        <w:rPr>
          <w:b/>
          <w:bCs/>
          <w:sz w:val="20"/>
          <w:szCs w:val="20"/>
        </w:rPr>
        <w:t xml:space="preserve">Sobre </w:t>
      </w:r>
      <w:proofErr w:type="spellStart"/>
      <w:r w:rsidR="00B34BC9" w:rsidRPr="00B03F48">
        <w:rPr>
          <w:b/>
          <w:bCs/>
          <w:sz w:val="20"/>
          <w:szCs w:val="20"/>
        </w:rPr>
        <w:t>A</w:t>
      </w:r>
      <w:r w:rsidR="00BF687F" w:rsidRPr="00B03F48">
        <w:rPr>
          <w:b/>
          <w:bCs/>
          <w:sz w:val="20"/>
          <w:szCs w:val="20"/>
        </w:rPr>
        <w:t>fi</w:t>
      </w:r>
      <w:proofErr w:type="spellEnd"/>
    </w:p>
    <w:p w14:paraId="726CD5C9" w14:textId="77777777" w:rsidR="00583192" w:rsidRPr="00B03F48" w:rsidRDefault="00583192" w:rsidP="00583192">
      <w:pPr>
        <w:pBdr>
          <w:bottom w:val="none" w:sz="0" w:space="7" w:color="000000"/>
        </w:pBdr>
        <w:shd w:val="clear" w:color="auto" w:fill="FFFFFF"/>
        <w:spacing w:line="240" w:lineRule="auto"/>
        <w:jc w:val="both"/>
        <w:rPr>
          <w:sz w:val="10"/>
          <w:szCs w:val="10"/>
        </w:rPr>
      </w:pPr>
    </w:p>
    <w:p w14:paraId="1E6AD2EA" w14:textId="4A80B030" w:rsidR="006417B5" w:rsidRPr="00B03F48" w:rsidRDefault="009359CA" w:rsidP="00583192">
      <w:pPr>
        <w:pBdr>
          <w:bottom w:val="none" w:sz="0" w:space="7" w:color="000000"/>
        </w:pBdr>
        <w:shd w:val="clear" w:color="auto" w:fill="FFFFFF"/>
        <w:spacing w:line="240" w:lineRule="auto"/>
        <w:jc w:val="both"/>
        <w:rPr>
          <w:sz w:val="20"/>
          <w:szCs w:val="20"/>
        </w:rPr>
      </w:pPr>
      <w:proofErr w:type="spellStart"/>
      <w:r w:rsidRPr="00B03F48">
        <w:rPr>
          <w:sz w:val="20"/>
          <w:szCs w:val="20"/>
        </w:rPr>
        <w:t>Afi</w:t>
      </w:r>
      <w:proofErr w:type="spellEnd"/>
      <w:r w:rsidRPr="00B03F48">
        <w:rPr>
          <w:sz w:val="20"/>
          <w:szCs w:val="20"/>
        </w:rPr>
        <w:t xml:space="preserve"> es una compañía española líder en asesoramiento, consultoría y formación independiente en economía, finanzas y tecnología. La empresa fue fundada en 1987 por un grupo de destacados académicos y, desde entonces, se ha convertido en un referente en el ámbito financiero. El equipo está formado por más de 200 profesionales altamente cualificados, entre los que se incluyen 26 socios.</w:t>
      </w:r>
    </w:p>
    <w:p w14:paraId="31830437" w14:textId="4CA92A2D" w:rsidR="00292E65" w:rsidRDefault="0039740E" w:rsidP="00B03F48">
      <w:pPr>
        <w:pBdr>
          <w:bottom w:val="none" w:sz="0" w:space="7" w:color="000000"/>
        </w:pBdr>
        <w:shd w:val="clear" w:color="auto" w:fill="FFFFFF"/>
        <w:spacing w:line="326" w:lineRule="auto"/>
        <w:rPr>
          <w:bCs/>
          <w:color w:val="222222"/>
          <w:sz w:val="20"/>
          <w:szCs w:val="20"/>
        </w:rPr>
      </w:pPr>
      <w:hyperlink r:id="rId10" w:history="1">
        <w:r w:rsidR="00583192" w:rsidRPr="00B03F48">
          <w:rPr>
            <w:rStyle w:val="Hipervnculo"/>
            <w:bCs/>
            <w:sz w:val="20"/>
            <w:szCs w:val="20"/>
          </w:rPr>
          <w:t>https://www.afi.es/</w:t>
        </w:r>
      </w:hyperlink>
      <w:r w:rsidR="00583192" w:rsidRPr="00B03F48">
        <w:rPr>
          <w:bCs/>
          <w:color w:val="222222"/>
          <w:sz w:val="20"/>
          <w:szCs w:val="20"/>
        </w:rPr>
        <w:t xml:space="preserve"> </w:t>
      </w:r>
    </w:p>
    <w:p w14:paraId="10C3E37B" w14:textId="3079ED09" w:rsidR="00B03F48" w:rsidRPr="00B03F48" w:rsidRDefault="00B03F48" w:rsidP="00B03F48">
      <w:pPr>
        <w:pBdr>
          <w:bottom w:val="none" w:sz="0" w:space="7" w:color="000000"/>
        </w:pBdr>
        <w:shd w:val="clear" w:color="auto" w:fill="FFFFFF"/>
        <w:spacing w:line="326" w:lineRule="auto"/>
        <w:rPr>
          <w:bCs/>
          <w:color w:val="222222"/>
          <w:sz w:val="10"/>
          <w:szCs w:val="10"/>
          <w:highlight w:val="white"/>
        </w:rPr>
      </w:pPr>
    </w:p>
    <w:p w14:paraId="50874092" w14:textId="5CC0B852" w:rsidR="00B03F48" w:rsidRDefault="00B03F48" w:rsidP="00B03F48">
      <w:pPr>
        <w:pBdr>
          <w:bottom w:val="none" w:sz="0" w:space="7" w:color="000000"/>
        </w:pBdr>
        <w:shd w:val="clear" w:color="auto" w:fill="FFFFFF"/>
        <w:spacing w:line="326" w:lineRule="auto"/>
        <w:rPr>
          <w:bCs/>
          <w:color w:val="222222"/>
          <w:sz w:val="10"/>
          <w:szCs w:val="10"/>
          <w:highlight w:val="white"/>
        </w:rPr>
      </w:pPr>
    </w:p>
    <w:p w14:paraId="46B4033F" w14:textId="02ED74C3" w:rsidR="00B03F48" w:rsidRDefault="00B03F48" w:rsidP="00B03F48">
      <w:pPr>
        <w:pBdr>
          <w:bottom w:val="none" w:sz="0" w:space="7" w:color="000000"/>
        </w:pBdr>
        <w:shd w:val="clear" w:color="auto" w:fill="FFFFFF"/>
        <w:spacing w:line="326" w:lineRule="auto"/>
        <w:rPr>
          <w:bCs/>
          <w:color w:val="222222"/>
          <w:sz w:val="10"/>
          <w:szCs w:val="10"/>
          <w:highlight w:val="white"/>
        </w:rPr>
      </w:pPr>
    </w:p>
    <w:p w14:paraId="6AA50D64" w14:textId="58FFAA24" w:rsidR="00B03F48" w:rsidRDefault="00B03F48" w:rsidP="00B03F48">
      <w:pPr>
        <w:pBdr>
          <w:bottom w:val="none" w:sz="0" w:space="7" w:color="000000"/>
        </w:pBdr>
        <w:shd w:val="clear" w:color="auto" w:fill="FFFFFF"/>
        <w:spacing w:line="326" w:lineRule="auto"/>
        <w:rPr>
          <w:bCs/>
          <w:color w:val="222222"/>
          <w:sz w:val="10"/>
          <w:szCs w:val="10"/>
          <w:highlight w:val="white"/>
        </w:rPr>
      </w:pPr>
    </w:p>
    <w:p w14:paraId="632F1EBD" w14:textId="21BB1593" w:rsidR="00B03F48" w:rsidRDefault="00B03F48" w:rsidP="00B03F48">
      <w:pPr>
        <w:pBdr>
          <w:bottom w:val="none" w:sz="0" w:space="7" w:color="000000"/>
        </w:pBdr>
        <w:shd w:val="clear" w:color="auto" w:fill="FFFFFF"/>
        <w:spacing w:line="326" w:lineRule="auto"/>
        <w:rPr>
          <w:bCs/>
          <w:color w:val="222222"/>
          <w:sz w:val="10"/>
          <w:szCs w:val="10"/>
          <w:highlight w:val="white"/>
        </w:rPr>
      </w:pPr>
    </w:p>
    <w:p w14:paraId="213764DF" w14:textId="652588E4" w:rsidR="00B03F48" w:rsidRDefault="00B03F48" w:rsidP="00B03F48">
      <w:pPr>
        <w:pBdr>
          <w:bottom w:val="none" w:sz="0" w:space="7" w:color="000000"/>
        </w:pBdr>
        <w:shd w:val="clear" w:color="auto" w:fill="FFFFFF"/>
        <w:spacing w:line="326" w:lineRule="auto"/>
        <w:rPr>
          <w:bCs/>
          <w:color w:val="222222"/>
          <w:sz w:val="10"/>
          <w:szCs w:val="10"/>
          <w:highlight w:val="white"/>
        </w:rPr>
      </w:pPr>
    </w:p>
    <w:p w14:paraId="6C017069" w14:textId="0E426754" w:rsidR="00B03F48" w:rsidRDefault="00B03F48" w:rsidP="00B03F48">
      <w:pPr>
        <w:pBdr>
          <w:bottom w:val="none" w:sz="0" w:space="7" w:color="000000"/>
        </w:pBdr>
        <w:shd w:val="clear" w:color="auto" w:fill="FFFFFF"/>
        <w:spacing w:line="326" w:lineRule="auto"/>
        <w:rPr>
          <w:bCs/>
          <w:color w:val="222222"/>
          <w:sz w:val="10"/>
          <w:szCs w:val="10"/>
          <w:highlight w:val="white"/>
        </w:rPr>
      </w:pPr>
    </w:p>
    <w:p w14:paraId="2482CCAC" w14:textId="77777777" w:rsidR="00B03F48" w:rsidRDefault="00B03F48" w:rsidP="00B03F48">
      <w:pPr>
        <w:pBdr>
          <w:bottom w:val="none" w:sz="0" w:space="7" w:color="000000"/>
        </w:pBdr>
        <w:shd w:val="clear" w:color="auto" w:fill="FFFFFF"/>
        <w:spacing w:line="326" w:lineRule="auto"/>
        <w:rPr>
          <w:bCs/>
          <w:color w:val="222222"/>
          <w:sz w:val="10"/>
          <w:szCs w:val="10"/>
          <w:highlight w:val="white"/>
        </w:rPr>
      </w:pPr>
    </w:p>
    <w:p w14:paraId="5B461CA1" w14:textId="77777777" w:rsidR="00B03F48" w:rsidRPr="00B03F48" w:rsidRDefault="00B03F48" w:rsidP="00B03F48">
      <w:pPr>
        <w:pBdr>
          <w:bottom w:val="none" w:sz="0" w:space="7" w:color="000000"/>
        </w:pBdr>
        <w:shd w:val="clear" w:color="auto" w:fill="FFFFFF"/>
        <w:spacing w:line="326" w:lineRule="auto"/>
        <w:rPr>
          <w:bCs/>
          <w:color w:val="222222"/>
          <w:sz w:val="10"/>
          <w:szCs w:val="10"/>
          <w:highlight w:val="white"/>
        </w:rPr>
      </w:pPr>
    </w:p>
    <w:p w14:paraId="2FE91029" w14:textId="0A456F93" w:rsidR="00681D17" w:rsidRPr="00B03F48" w:rsidRDefault="0088235C" w:rsidP="00B03F48">
      <w:pPr>
        <w:pBdr>
          <w:bottom w:val="none" w:sz="0" w:space="7" w:color="000000"/>
        </w:pBdr>
        <w:shd w:val="clear" w:color="auto" w:fill="FFFFFF"/>
        <w:spacing w:line="240" w:lineRule="auto"/>
        <w:rPr>
          <w:b/>
          <w:color w:val="222222"/>
          <w:sz w:val="20"/>
          <w:szCs w:val="20"/>
          <w:highlight w:val="white"/>
        </w:rPr>
      </w:pPr>
      <w:r w:rsidRPr="00B03F48">
        <w:rPr>
          <w:b/>
          <w:color w:val="222222"/>
          <w:sz w:val="20"/>
          <w:szCs w:val="20"/>
          <w:highlight w:val="white"/>
        </w:rPr>
        <w:t xml:space="preserve">Para más información: </w:t>
      </w:r>
    </w:p>
    <w:p w14:paraId="7AC46BB1" w14:textId="5D57CBD1" w:rsidR="00681D17" w:rsidRPr="00B03F48" w:rsidRDefault="0088235C" w:rsidP="00B03F48">
      <w:pPr>
        <w:spacing w:line="240" w:lineRule="auto"/>
        <w:jc w:val="both"/>
        <w:rPr>
          <w:color w:val="222222"/>
          <w:sz w:val="20"/>
          <w:szCs w:val="20"/>
          <w:highlight w:val="white"/>
          <w:lang w:val="es-ES"/>
        </w:rPr>
      </w:pPr>
      <w:r w:rsidRPr="00B03F48">
        <w:rPr>
          <w:b/>
          <w:bCs/>
          <w:color w:val="222222"/>
          <w:sz w:val="20"/>
          <w:szCs w:val="20"/>
          <w:highlight w:val="white"/>
        </w:rPr>
        <w:t xml:space="preserve">Gabinete de Prensa de la Fundación ICO </w:t>
      </w:r>
      <w:r w:rsidR="00B03F48">
        <w:rPr>
          <w:b/>
          <w:bCs/>
          <w:color w:val="222222"/>
          <w:sz w:val="20"/>
          <w:szCs w:val="20"/>
          <w:highlight w:val="white"/>
        </w:rPr>
        <w:tab/>
      </w:r>
      <w:r w:rsidR="00B03F48">
        <w:rPr>
          <w:b/>
          <w:bCs/>
          <w:color w:val="222222"/>
          <w:sz w:val="20"/>
          <w:szCs w:val="20"/>
          <w:highlight w:val="white"/>
        </w:rPr>
        <w:tab/>
      </w:r>
      <w:r w:rsidR="00B03F48">
        <w:rPr>
          <w:b/>
          <w:bCs/>
          <w:color w:val="222222"/>
          <w:sz w:val="20"/>
          <w:szCs w:val="20"/>
          <w:highlight w:val="white"/>
        </w:rPr>
        <w:tab/>
      </w:r>
      <w:r w:rsidR="00B03F48">
        <w:rPr>
          <w:b/>
          <w:bCs/>
          <w:color w:val="222222"/>
          <w:sz w:val="20"/>
          <w:szCs w:val="20"/>
          <w:highlight w:val="white"/>
        </w:rPr>
        <w:tab/>
      </w:r>
      <w:r w:rsidR="00B03F48">
        <w:rPr>
          <w:b/>
          <w:bCs/>
          <w:color w:val="222222"/>
          <w:sz w:val="20"/>
          <w:szCs w:val="20"/>
          <w:highlight w:val="white"/>
        </w:rPr>
        <w:tab/>
      </w:r>
      <w:r w:rsidR="00B03F48" w:rsidRPr="00B03F48">
        <w:rPr>
          <w:b/>
          <w:bCs/>
          <w:color w:val="222222"/>
          <w:sz w:val="20"/>
          <w:szCs w:val="20"/>
          <w:highlight w:val="white"/>
          <w:lang w:val="es-ES"/>
        </w:rPr>
        <w:t xml:space="preserve">Comunicación </w:t>
      </w:r>
      <w:proofErr w:type="spellStart"/>
      <w:r w:rsidR="00B03F48" w:rsidRPr="00B03F48">
        <w:rPr>
          <w:b/>
          <w:bCs/>
          <w:color w:val="222222"/>
          <w:sz w:val="20"/>
          <w:szCs w:val="20"/>
          <w:highlight w:val="white"/>
          <w:lang w:val="es-ES"/>
        </w:rPr>
        <w:t>Afi</w:t>
      </w:r>
      <w:proofErr w:type="spellEnd"/>
    </w:p>
    <w:p w14:paraId="187E7386" w14:textId="7B307349" w:rsidR="00B03F48" w:rsidRPr="00B03F48" w:rsidRDefault="00E4156F" w:rsidP="00B03F48">
      <w:pPr>
        <w:spacing w:line="240" w:lineRule="auto"/>
        <w:jc w:val="both"/>
        <w:rPr>
          <w:color w:val="222222"/>
          <w:sz w:val="20"/>
          <w:szCs w:val="20"/>
          <w:highlight w:val="white"/>
          <w:lang w:val="es-ES"/>
        </w:rPr>
      </w:pPr>
      <w:r w:rsidRPr="00B03F48">
        <w:rPr>
          <w:color w:val="222222"/>
          <w:sz w:val="20"/>
          <w:szCs w:val="20"/>
          <w:highlight w:val="white"/>
        </w:rPr>
        <w:t>Oriol García</w:t>
      </w:r>
      <w:r w:rsidR="00B03F48">
        <w:rPr>
          <w:color w:val="222222"/>
          <w:sz w:val="20"/>
          <w:szCs w:val="20"/>
        </w:rPr>
        <w:tab/>
      </w:r>
      <w:r w:rsidR="00B03F48">
        <w:rPr>
          <w:color w:val="222222"/>
          <w:sz w:val="20"/>
          <w:szCs w:val="20"/>
        </w:rPr>
        <w:tab/>
      </w:r>
      <w:r w:rsidR="00B03F48">
        <w:rPr>
          <w:color w:val="222222"/>
          <w:sz w:val="20"/>
          <w:szCs w:val="20"/>
        </w:rPr>
        <w:tab/>
      </w:r>
      <w:r w:rsidR="00B03F48">
        <w:rPr>
          <w:color w:val="222222"/>
          <w:sz w:val="20"/>
          <w:szCs w:val="20"/>
        </w:rPr>
        <w:tab/>
      </w:r>
      <w:r w:rsidR="00B03F48">
        <w:rPr>
          <w:color w:val="222222"/>
          <w:sz w:val="20"/>
          <w:szCs w:val="20"/>
        </w:rPr>
        <w:tab/>
      </w:r>
      <w:r w:rsidR="00B03F48">
        <w:rPr>
          <w:color w:val="222222"/>
          <w:sz w:val="20"/>
          <w:szCs w:val="20"/>
        </w:rPr>
        <w:tab/>
      </w:r>
      <w:r w:rsidR="00B03F48">
        <w:rPr>
          <w:color w:val="222222"/>
          <w:sz w:val="20"/>
          <w:szCs w:val="20"/>
        </w:rPr>
        <w:tab/>
      </w:r>
      <w:r w:rsidR="00B03F48">
        <w:rPr>
          <w:color w:val="222222"/>
          <w:sz w:val="20"/>
          <w:szCs w:val="20"/>
        </w:rPr>
        <w:tab/>
      </w:r>
      <w:r w:rsidR="00B03F48">
        <w:rPr>
          <w:color w:val="222222"/>
          <w:sz w:val="20"/>
          <w:szCs w:val="20"/>
        </w:rPr>
        <w:tab/>
      </w:r>
      <w:r w:rsidR="00B03F48">
        <w:rPr>
          <w:color w:val="222222"/>
          <w:sz w:val="20"/>
          <w:szCs w:val="20"/>
        </w:rPr>
        <w:tab/>
      </w:r>
      <w:r w:rsidR="00B03F48" w:rsidRPr="00B03F48">
        <w:rPr>
          <w:color w:val="222222"/>
          <w:sz w:val="20"/>
          <w:szCs w:val="20"/>
          <w:highlight w:val="white"/>
          <w:lang w:val="es-ES"/>
        </w:rPr>
        <w:t>608867180</w:t>
      </w:r>
    </w:p>
    <w:p w14:paraId="7CA2E614" w14:textId="593A1CDA" w:rsidR="00B03F48" w:rsidRPr="00B03F48" w:rsidRDefault="00B03F48" w:rsidP="00B03F48">
      <w:pPr>
        <w:spacing w:line="240" w:lineRule="auto"/>
        <w:jc w:val="both"/>
        <w:rPr>
          <w:color w:val="222222"/>
          <w:sz w:val="20"/>
          <w:szCs w:val="20"/>
        </w:rPr>
      </w:pPr>
      <w:r>
        <w:rPr>
          <w:color w:val="222222"/>
          <w:sz w:val="20"/>
          <w:szCs w:val="20"/>
          <w:highlight w:val="white"/>
        </w:rPr>
        <w:t xml:space="preserve">+34 </w:t>
      </w:r>
      <w:r w:rsidRPr="00B03F48">
        <w:rPr>
          <w:color w:val="222222"/>
          <w:sz w:val="20"/>
          <w:szCs w:val="20"/>
          <w:highlight w:val="white"/>
        </w:rPr>
        <w:t>608 51 29 09</w:t>
      </w:r>
      <w:r>
        <w:rPr>
          <w:color w:val="222222"/>
          <w:sz w:val="20"/>
          <w:szCs w:val="20"/>
        </w:rPr>
        <w:tab/>
      </w:r>
      <w:r>
        <w:rPr>
          <w:color w:val="222222"/>
          <w:sz w:val="20"/>
          <w:szCs w:val="20"/>
        </w:rPr>
        <w:tab/>
      </w:r>
      <w:r>
        <w:rPr>
          <w:color w:val="222222"/>
          <w:sz w:val="20"/>
          <w:szCs w:val="20"/>
        </w:rPr>
        <w:tab/>
      </w:r>
      <w:r>
        <w:rPr>
          <w:color w:val="222222"/>
          <w:sz w:val="20"/>
          <w:szCs w:val="20"/>
        </w:rPr>
        <w:tab/>
      </w:r>
      <w:r>
        <w:rPr>
          <w:color w:val="222222"/>
          <w:sz w:val="20"/>
          <w:szCs w:val="20"/>
        </w:rPr>
        <w:tab/>
      </w:r>
      <w:r>
        <w:rPr>
          <w:color w:val="222222"/>
          <w:sz w:val="20"/>
          <w:szCs w:val="20"/>
        </w:rPr>
        <w:tab/>
      </w:r>
      <w:r>
        <w:rPr>
          <w:color w:val="222222"/>
          <w:sz w:val="20"/>
          <w:szCs w:val="20"/>
        </w:rPr>
        <w:tab/>
        <w:t xml:space="preserve">          </w:t>
      </w:r>
      <w:hyperlink r:id="rId11" w:history="1">
        <w:r w:rsidRPr="00890BE6">
          <w:rPr>
            <w:rStyle w:val="Hipervnculo"/>
            <w:sz w:val="20"/>
            <w:szCs w:val="20"/>
            <w:highlight w:val="white"/>
            <w:lang w:val="es-ES"/>
          </w:rPr>
          <w:t>comunicacion@afi.es</w:t>
        </w:r>
      </w:hyperlink>
    </w:p>
    <w:p w14:paraId="65183DBE" w14:textId="6AB569CF" w:rsidR="00B34BC9" w:rsidRPr="00B03F48" w:rsidRDefault="0039740E" w:rsidP="00B03F48">
      <w:pPr>
        <w:pBdr>
          <w:bottom w:val="none" w:sz="0" w:space="7" w:color="000000"/>
        </w:pBdr>
        <w:shd w:val="clear" w:color="auto" w:fill="FFFFFF"/>
        <w:spacing w:line="240" w:lineRule="auto"/>
        <w:rPr>
          <w:color w:val="222222"/>
          <w:sz w:val="20"/>
          <w:szCs w:val="20"/>
          <w:highlight w:val="white"/>
        </w:rPr>
      </w:pPr>
      <w:hyperlink r:id="rId12" w:history="1">
        <w:r w:rsidR="009614FC" w:rsidRPr="00B03F48">
          <w:rPr>
            <w:rStyle w:val="Hipervnculo"/>
            <w:sz w:val="20"/>
            <w:szCs w:val="20"/>
          </w:rPr>
          <w:t>oriolgarcia@mahala.es</w:t>
        </w:r>
      </w:hyperlink>
      <w:r w:rsidR="00E4156F" w:rsidRPr="00B03F48">
        <w:rPr>
          <w:sz w:val="20"/>
          <w:szCs w:val="20"/>
        </w:rPr>
        <w:t xml:space="preserve"> </w:t>
      </w:r>
    </w:p>
    <w:sectPr w:rsidR="00B34BC9" w:rsidRPr="00B03F48">
      <w:head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DEFB1" w14:textId="77777777" w:rsidR="00472374" w:rsidRDefault="00472374" w:rsidP="00804D8A">
      <w:pPr>
        <w:spacing w:line="240" w:lineRule="auto"/>
      </w:pPr>
      <w:r>
        <w:separator/>
      </w:r>
    </w:p>
  </w:endnote>
  <w:endnote w:type="continuationSeparator" w:id="0">
    <w:p w14:paraId="5968E628" w14:textId="77777777" w:rsidR="00472374" w:rsidRDefault="00472374" w:rsidP="00804D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EF5A5" w14:textId="77777777" w:rsidR="00472374" w:rsidRDefault="00472374" w:rsidP="00804D8A">
      <w:pPr>
        <w:spacing w:line="240" w:lineRule="auto"/>
      </w:pPr>
      <w:r>
        <w:separator/>
      </w:r>
    </w:p>
  </w:footnote>
  <w:footnote w:type="continuationSeparator" w:id="0">
    <w:p w14:paraId="39921C5A" w14:textId="77777777" w:rsidR="00472374" w:rsidRDefault="00472374" w:rsidP="00804D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D1025" w14:textId="33A9EE57" w:rsidR="00804D8A" w:rsidRDefault="00B34BC9" w:rsidP="00B34BC9">
    <w:pPr>
      <w:pStyle w:val="Encabezado"/>
      <w:jc w:val="center"/>
    </w:pPr>
    <w:r>
      <w:rPr>
        <w:noProof/>
        <w:lang w:val="es-ES" w:eastAsia="es-ES"/>
      </w:rPr>
      <w:drawing>
        <wp:inline distT="0" distB="0" distL="0" distR="0" wp14:anchorId="2229DE29" wp14:editId="5CB2AC94">
          <wp:extent cx="1963420" cy="610977"/>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12314"/>
                  <a:stretch/>
                </pic:blipFill>
                <pic:spPr bwMode="auto">
                  <a:xfrm>
                    <a:off x="0" y="0"/>
                    <a:ext cx="2001051" cy="622687"/>
                  </a:xfrm>
                  <a:prstGeom prst="rect">
                    <a:avLst/>
                  </a:prstGeom>
                  <a:noFill/>
                  <a:ln>
                    <a:noFill/>
                  </a:ln>
                  <a:extLst>
                    <a:ext uri="{53640926-AAD7-44D8-BBD7-CCE9431645EC}">
                      <a14:shadowObscured xmlns:a14="http://schemas.microsoft.com/office/drawing/2010/main"/>
                    </a:ext>
                  </a:extLst>
                </pic:spPr>
              </pic:pic>
            </a:graphicData>
          </a:graphic>
        </wp:inline>
      </w:drawing>
    </w:r>
  </w:p>
  <w:p w14:paraId="19294F55" w14:textId="77777777" w:rsidR="00C66047" w:rsidRDefault="00C66047" w:rsidP="00B34BC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82B3B"/>
    <w:multiLevelType w:val="hybridMultilevel"/>
    <w:tmpl w:val="5262DAB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294C12C5"/>
    <w:multiLevelType w:val="hybridMultilevel"/>
    <w:tmpl w:val="FD1E1C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06B2A35"/>
    <w:multiLevelType w:val="hybridMultilevel"/>
    <w:tmpl w:val="F99C69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A836D73"/>
    <w:multiLevelType w:val="hybridMultilevel"/>
    <w:tmpl w:val="44D62AA2"/>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4" w15:restartNumberingAfterBreak="0">
    <w:nsid w:val="7CDE2C46"/>
    <w:multiLevelType w:val="hybridMultilevel"/>
    <w:tmpl w:val="5DDAC6A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7F4E378A"/>
    <w:multiLevelType w:val="hybridMultilevel"/>
    <w:tmpl w:val="50320E3A"/>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88789419">
    <w:abstractNumId w:val="4"/>
  </w:num>
  <w:num w:numId="2" w16cid:durableId="315185041">
    <w:abstractNumId w:val="1"/>
  </w:num>
  <w:num w:numId="3" w16cid:durableId="1823808757">
    <w:abstractNumId w:val="0"/>
  </w:num>
  <w:num w:numId="4" w16cid:durableId="2058552809">
    <w:abstractNumId w:val="3"/>
  </w:num>
  <w:num w:numId="5" w16cid:durableId="1400833416">
    <w:abstractNumId w:val="5"/>
  </w:num>
  <w:num w:numId="6" w16cid:durableId="2000382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7B5"/>
    <w:rsid w:val="00027CB5"/>
    <w:rsid w:val="00040279"/>
    <w:rsid w:val="000E5AFB"/>
    <w:rsid w:val="00127C07"/>
    <w:rsid w:val="00161358"/>
    <w:rsid w:val="001647D5"/>
    <w:rsid w:val="001650DE"/>
    <w:rsid w:val="00192B70"/>
    <w:rsid w:val="00197120"/>
    <w:rsid w:val="001D56A3"/>
    <w:rsid w:val="00226244"/>
    <w:rsid w:val="00254EAD"/>
    <w:rsid w:val="00292E65"/>
    <w:rsid w:val="002B5A0A"/>
    <w:rsid w:val="002D68D1"/>
    <w:rsid w:val="00343514"/>
    <w:rsid w:val="00367D3A"/>
    <w:rsid w:val="003B1FFF"/>
    <w:rsid w:val="003B25B1"/>
    <w:rsid w:val="003C619E"/>
    <w:rsid w:val="003E1B40"/>
    <w:rsid w:val="003F359B"/>
    <w:rsid w:val="0041206B"/>
    <w:rsid w:val="00472374"/>
    <w:rsid w:val="004B3F83"/>
    <w:rsid w:val="00573220"/>
    <w:rsid w:val="0058103C"/>
    <w:rsid w:val="00583192"/>
    <w:rsid w:val="005A0055"/>
    <w:rsid w:val="005A0F3A"/>
    <w:rsid w:val="005B221D"/>
    <w:rsid w:val="00627A5B"/>
    <w:rsid w:val="006417B5"/>
    <w:rsid w:val="006560A9"/>
    <w:rsid w:val="00681D17"/>
    <w:rsid w:val="006D5DF2"/>
    <w:rsid w:val="007471F7"/>
    <w:rsid w:val="007C085B"/>
    <w:rsid w:val="007E6CCB"/>
    <w:rsid w:val="00804D8A"/>
    <w:rsid w:val="00880F7F"/>
    <w:rsid w:val="0088235C"/>
    <w:rsid w:val="00892A33"/>
    <w:rsid w:val="008D1553"/>
    <w:rsid w:val="008E6D1C"/>
    <w:rsid w:val="008F5C6E"/>
    <w:rsid w:val="009359CA"/>
    <w:rsid w:val="009614FC"/>
    <w:rsid w:val="00974D47"/>
    <w:rsid w:val="0099017F"/>
    <w:rsid w:val="009967BE"/>
    <w:rsid w:val="009D0E4E"/>
    <w:rsid w:val="009D68FF"/>
    <w:rsid w:val="00A15661"/>
    <w:rsid w:val="00A25A5B"/>
    <w:rsid w:val="00A355A4"/>
    <w:rsid w:val="00A728E2"/>
    <w:rsid w:val="00A7788C"/>
    <w:rsid w:val="00AB0602"/>
    <w:rsid w:val="00AF3C17"/>
    <w:rsid w:val="00B03F48"/>
    <w:rsid w:val="00B34BC9"/>
    <w:rsid w:val="00B5515A"/>
    <w:rsid w:val="00B86EDD"/>
    <w:rsid w:val="00B87BB9"/>
    <w:rsid w:val="00B9099A"/>
    <w:rsid w:val="00BA2F22"/>
    <w:rsid w:val="00BD5BF9"/>
    <w:rsid w:val="00BF687F"/>
    <w:rsid w:val="00C66047"/>
    <w:rsid w:val="00C6782E"/>
    <w:rsid w:val="00CB5AFE"/>
    <w:rsid w:val="00CC1960"/>
    <w:rsid w:val="00D241D2"/>
    <w:rsid w:val="00D671CF"/>
    <w:rsid w:val="00D756E5"/>
    <w:rsid w:val="00DD7F40"/>
    <w:rsid w:val="00E4156F"/>
    <w:rsid w:val="00E45C0D"/>
    <w:rsid w:val="00E551F1"/>
    <w:rsid w:val="00E71641"/>
    <w:rsid w:val="00E96108"/>
    <w:rsid w:val="00EB08E3"/>
    <w:rsid w:val="00EF6BAA"/>
    <w:rsid w:val="00F42A9A"/>
    <w:rsid w:val="00F6054D"/>
    <w:rsid w:val="00FA150F"/>
    <w:rsid w:val="00FF292F"/>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E121E"/>
  <w15:docId w15:val="{8E99C821-C273-43F8-B240-BBE2FC826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B07F57"/>
    <w:rPr>
      <w:sz w:val="16"/>
      <w:szCs w:val="16"/>
    </w:rPr>
  </w:style>
  <w:style w:type="paragraph" w:styleId="Textocomentario">
    <w:name w:val="annotation text"/>
    <w:basedOn w:val="Normal"/>
    <w:link w:val="TextocomentarioCar"/>
    <w:uiPriority w:val="99"/>
    <w:unhideWhenUsed/>
    <w:rsid w:val="00B07F57"/>
    <w:pPr>
      <w:spacing w:line="240" w:lineRule="auto"/>
    </w:pPr>
    <w:rPr>
      <w:sz w:val="20"/>
      <w:szCs w:val="20"/>
    </w:rPr>
  </w:style>
  <w:style w:type="character" w:customStyle="1" w:styleId="TextocomentarioCar">
    <w:name w:val="Texto comentario Car"/>
    <w:basedOn w:val="Fuentedeprrafopredeter"/>
    <w:link w:val="Textocomentario"/>
    <w:uiPriority w:val="99"/>
    <w:rsid w:val="00B07F57"/>
    <w:rPr>
      <w:sz w:val="20"/>
      <w:szCs w:val="20"/>
    </w:rPr>
  </w:style>
  <w:style w:type="paragraph" w:styleId="Asuntodelcomentario">
    <w:name w:val="annotation subject"/>
    <w:basedOn w:val="Textocomentario"/>
    <w:next w:val="Textocomentario"/>
    <w:link w:val="AsuntodelcomentarioCar"/>
    <w:uiPriority w:val="99"/>
    <w:semiHidden/>
    <w:unhideWhenUsed/>
    <w:rsid w:val="00B07F57"/>
    <w:rPr>
      <w:b/>
      <w:bCs/>
    </w:rPr>
  </w:style>
  <w:style w:type="character" w:customStyle="1" w:styleId="AsuntodelcomentarioCar">
    <w:name w:val="Asunto del comentario Car"/>
    <w:basedOn w:val="TextocomentarioCar"/>
    <w:link w:val="Asuntodelcomentario"/>
    <w:uiPriority w:val="99"/>
    <w:semiHidden/>
    <w:rsid w:val="00B07F57"/>
    <w:rPr>
      <w:b/>
      <w:bCs/>
      <w:sz w:val="20"/>
      <w:szCs w:val="20"/>
    </w:rPr>
  </w:style>
  <w:style w:type="paragraph" w:styleId="Textodeglobo">
    <w:name w:val="Balloon Text"/>
    <w:basedOn w:val="Normal"/>
    <w:link w:val="TextodegloboCar"/>
    <w:uiPriority w:val="99"/>
    <w:semiHidden/>
    <w:unhideWhenUsed/>
    <w:rsid w:val="00B07F5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7F57"/>
    <w:rPr>
      <w:rFonts w:ascii="Segoe UI" w:hAnsi="Segoe UI" w:cs="Segoe UI"/>
      <w:sz w:val="18"/>
      <w:szCs w:val="18"/>
    </w:rPr>
  </w:style>
  <w:style w:type="character" w:styleId="Hipervnculo">
    <w:name w:val="Hyperlink"/>
    <w:basedOn w:val="Fuentedeprrafopredeter"/>
    <w:uiPriority w:val="99"/>
    <w:unhideWhenUsed/>
    <w:rsid w:val="007F7C19"/>
    <w:rPr>
      <w:color w:val="0000FF" w:themeColor="hyperlink"/>
      <w:u w:val="single"/>
    </w:rPr>
  </w:style>
  <w:style w:type="character" w:customStyle="1" w:styleId="Mencinsinresolver1">
    <w:name w:val="Mención sin resolver1"/>
    <w:basedOn w:val="Fuentedeprrafopredeter"/>
    <w:uiPriority w:val="99"/>
    <w:semiHidden/>
    <w:unhideWhenUsed/>
    <w:rsid w:val="00D37831"/>
    <w:rPr>
      <w:color w:val="605E5C"/>
      <w:shd w:val="clear" w:color="auto" w:fill="E1DFDD"/>
    </w:rPr>
  </w:style>
  <w:style w:type="character" w:styleId="Hipervnculovisitado">
    <w:name w:val="FollowedHyperlink"/>
    <w:basedOn w:val="Fuentedeprrafopredeter"/>
    <w:uiPriority w:val="99"/>
    <w:semiHidden/>
    <w:unhideWhenUsed/>
    <w:rsid w:val="008047DF"/>
    <w:rPr>
      <w:color w:val="800080" w:themeColor="followedHyperlink"/>
      <w:u w:val="single"/>
    </w:rPr>
  </w:style>
  <w:style w:type="paragraph" w:styleId="Prrafodelista">
    <w:name w:val="List Paragraph"/>
    <w:basedOn w:val="Normal"/>
    <w:uiPriority w:val="34"/>
    <w:qFormat/>
    <w:rsid w:val="00627A5B"/>
    <w:pPr>
      <w:ind w:left="720"/>
      <w:contextualSpacing/>
    </w:pPr>
  </w:style>
  <w:style w:type="paragraph" w:styleId="Revisin">
    <w:name w:val="Revision"/>
    <w:hidden/>
    <w:uiPriority w:val="99"/>
    <w:semiHidden/>
    <w:rsid w:val="00EB08E3"/>
    <w:pPr>
      <w:spacing w:line="240" w:lineRule="auto"/>
    </w:pPr>
  </w:style>
  <w:style w:type="character" w:styleId="Mencinsinresolver">
    <w:name w:val="Unresolved Mention"/>
    <w:basedOn w:val="Fuentedeprrafopredeter"/>
    <w:uiPriority w:val="99"/>
    <w:semiHidden/>
    <w:unhideWhenUsed/>
    <w:rsid w:val="001D56A3"/>
    <w:rPr>
      <w:color w:val="605E5C"/>
      <w:shd w:val="clear" w:color="auto" w:fill="E1DFDD"/>
    </w:rPr>
  </w:style>
  <w:style w:type="paragraph" w:styleId="Encabezado">
    <w:name w:val="header"/>
    <w:basedOn w:val="Normal"/>
    <w:link w:val="EncabezadoCar"/>
    <w:uiPriority w:val="99"/>
    <w:unhideWhenUsed/>
    <w:rsid w:val="00804D8A"/>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804D8A"/>
  </w:style>
  <w:style w:type="paragraph" w:styleId="Piedepgina">
    <w:name w:val="footer"/>
    <w:basedOn w:val="Normal"/>
    <w:link w:val="PiedepginaCar"/>
    <w:uiPriority w:val="99"/>
    <w:unhideWhenUsed/>
    <w:rsid w:val="00804D8A"/>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804D8A"/>
  </w:style>
  <w:style w:type="paragraph" w:styleId="NormalWeb">
    <w:name w:val="Normal (Web)"/>
    <w:basedOn w:val="Normal"/>
    <w:uiPriority w:val="99"/>
    <w:semiHidden/>
    <w:unhideWhenUsed/>
    <w:rsid w:val="00B34BC9"/>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95851">
      <w:bodyDiv w:val="1"/>
      <w:marLeft w:val="0"/>
      <w:marRight w:val="0"/>
      <w:marTop w:val="0"/>
      <w:marBottom w:val="0"/>
      <w:divBdr>
        <w:top w:val="none" w:sz="0" w:space="0" w:color="auto"/>
        <w:left w:val="none" w:sz="0" w:space="0" w:color="auto"/>
        <w:bottom w:val="none" w:sz="0" w:space="0" w:color="auto"/>
        <w:right w:val="none" w:sz="0" w:space="0" w:color="auto"/>
      </w:divBdr>
    </w:div>
    <w:div w:id="472675455">
      <w:bodyDiv w:val="1"/>
      <w:marLeft w:val="0"/>
      <w:marRight w:val="0"/>
      <w:marTop w:val="0"/>
      <w:marBottom w:val="0"/>
      <w:divBdr>
        <w:top w:val="none" w:sz="0" w:space="0" w:color="auto"/>
        <w:left w:val="none" w:sz="0" w:space="0" w:color="auto"/>
        <w:bottom w:val="none" w:sz="0" w:space="0" w:color="auto"/>
        <w:right w:val="none" w:sz="0" w:space="0" w:color="auto"/>
      </w:divBdr>
    </w:div>
    <w:div w:id="1459058787">
      <w:bodyDiv w:val="1"/>
      <w:marLeft w:val="0"/>
      <w:marRight w:val="0"/>
      <w:marTop w:val="0"/>
      <w:marBottom w:val="0"/>
      <w:divBdr>
        <w:top w:val="none" w:sz="0" w:space="0" w:color="auto"/>
        <w:left w:val="none" w:sz="0" w:space="0" w:color="auto"/>
        <w:bottom w:val="none" w:sz="0" w:space="0" w:color="auto"/>
        <w:right w:val="none" w:sz="0" w:space="0" w:color="auto"/>
      </w:divBdr>
    </w:div>
    <w:div w:id="1721780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riolgarcia@mahala.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unicacion@af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fi.es/" TargetMode="External"/><Relationship Id="rId4" Type="http://schemas.openxmlformats.org/officeDocument/2006/relationships/settings" Target="settings.xml"/><Relationship Id="rId9" Type="http://schemas.openxmlformats.org/officeDocument/2006/relationships/hyperlink" Target="http://www.fundacionico.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PJrfY9vQU8eoxhCjt58f04AcIg==">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5744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Josefina Cortes Sadaba</dc:creator>
  <cp:lastModifiedBy>Oriol García</cp:lastModifiedBy>
  <cp:revision>5</cp:revision>
  <dcterms:created xsi:type="dcterms:W3CDTF">2023-01-24T18:00:00Z</dcterms:created>
  <dcterms:modified xsi:type="dcterms:W3CDTF">2023-06-26T12:46:00Z</dcterms:modified>
</cp:coreProperties>
</file>